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50BB8" w:rsidRDefault="00885AC7">
      <w:pPr>
        <w:jc w:val="center"/>
        <w:rPr>
          <w:rFonts w:ascii="Calibri" w:eastAsia="Calibri" w:hAnsi="Calibri" w:cs="Calibri"/>
          <w:b/>
          <w:sz w:val="26"/>
          <w:szCs w:val="26"/>
        </w:rPr>
      </w:pPr>
      <w:bookmarkStart w:id="0" w:name="_GoBack"/>
      <w:bookmarkEnd w:id="0"/>
      <w:r>
        <w:rPr>
          <w:rFonts w:ascii="Calibri" w:eastAsia="Calibri" w:hAnsi="Calibri" w:cs="Calibri"/>
          <w:b/>
          <w:sz w:val="26"/>
          <w:szCs w:val="26"/>
        </w:rPr>
        <w:t>Attachment ____</w:t>
      </w:r>
    </w:p>
    <w:p w14:paraId="00000002" w14:textId="77777777" w:rsidR="00750BB8" w:rsidRDefault="00885AC7">
      <w:pPr>
        <w:jc w:val="center"/>
        <w:rPr>
          <w:rFonts w:ascii="Calibri" w:eastAsia="Calibri" w:hAnsi="Calibri" w:cs="Calibri"/>
          <w:b/>
          <w:sz w:val="26"/>
          <w:szCs w:val="26"/>
        </w:rPr>
      </w:pPr>
      <w:r>
        <w:rPr>
          <w:rFonts w:ascii="Calibri" w:eastAsia="Calibri" w:hAnsi="Calibri" w:cs="Calibri"/>
          <w:b/>
          <w:sz w:val="26"/>
          <w:szCs w:val="26"/>
        </w:rPr>
        <w:t>SCOPE OF WORK</w:t>
      </w:r>
    </w:p>
    <w:p w14:paraId="00000003" w14:textId="77777777" w:rsidR="00750BB8" w:rsidRDefault="00885AC7">
      <w:pPr>
        <w:jc w:val="center"/>
        <w:rPr>
          <w:rFonts w:ascii="Calibri" w:eastAsia="Calibri" w:hAnsi="Calibri" w:cs="Calibri"/>
          <w:b/>
          <w:sz w:val="26"/>
          <w:szCs w:val="26"/>
        </w:rPr>
      </w:pPr>
      <w:r>
        <w:rPr>
          <w:rFonts w:ascii="Calibri" w:eastAsia="Calibri" w:hAnsi="Calibri" w:cs="Calibri"/>
          <w:b/>
          <w:sz w:val="26"/>
          <w:szCs w:val="26"/>
        </w:rPr>
        <w:t>Weber County Prosperity Initiative</w:t>
      </w:r>
    </w:p>
    <w:p w14:paraId="00000004" w14:textId="77777777" w:rsidR="00750BB8" w:rsidRDefault="00885AC7">
      <w:pPr>
        <w:jc w:val="center"/>
        <w:rPr>
          <w:rFonts w:ascii="Calibri" w:eastAsia="Calibri" w:hAnsi="Calibri" w:cs="Calibri"/>
          <w:sz w:val="16"/>
          <w:szCs w:val="16"/>
        </w:rPr>
      </w:pPr>
      <w:r>
        <w:rPr>
          <w:rFonts w:ascii="Calibri" w:eastAsia="Calibri" w:hAnsi="Calibri" w:cs="Calibri"/>
          <w:b/>
          <w:sz w:val="26"/>
          <w:szCs w:val="26"/>
        </w:rPr>
        <w:t>Weber County</w:t>
      </w:r>
      <w:r>
        <w:rPr>
          <w:rFonts w:ascii="Calibri" w:eastAsia="Calibri" w:hAnsi="Calibri" w:cs="Calibri"/>
          <w:sz w:val="16"/>
          <w:szCs w:val="16"/>
        </w:rPr>
        <w:t xml:space="preserve"> </w:t>
      </w:r>
    </w:p>
    <w:p w14:paraId="00000005" w14:textId="77777777" w:rsidR="00750BB8" w:rsidRPr="00885AC7" w:rsidRDefault="00885AC7" w:rsidP="00D85C51">
      <w:pPr>
        <w:numPr>
          <w:ilvl w:val="0"/>
          <w:numId w:val="1"/>
        </w:numPr>
        <w:jc w:val="both"/>
        <w:rPr>
          <w:rFonts w:asciiTheme="majorHAnsi" w:eastAsia="Calibri" w:hAnsiTheme="majorHAnsi" w:cstheme="majorHAnsi"/>
        </w:rPr>
      </w:pPr>
      <w:r w:rsidRPr="00885AC7">
        <w:rPr>
          <w:rFonts w:asciiTheme="majorHAnsi" w:eastAsia="Calibri" w:hAnsiTheme="majorHAnsi" w:cstheme="majorHAnsi"/>
          <w:b/>
        </w:rPr>
        <w:t>Purpose</w:t>
      </w:r>
    </w:p>
    <w:p w14:paraId="00000006" w14:textId="03E7AB3A" w:rsidR="00750BB8" w:rsidRPr="00885AC7" w:rsidRDefault="00885AC7" w:rsidP="00D85C51">
      <w:pPr>
        <w:ind w:left="720"/>
        <w:jc w:val="both"/>
        <w:rPr>
          <w:rFonts w:asciiTheme="majorHAnsi" w:eastAsia="Calibri" w:hAnsiTheme="majorHAnsi" w:cstheme="majorHAnsi"/>
        </w:rPr>
      </w:pPr>
      <w:r w:rsidRPr="00885AC7">
        <w:rPr>
          <w:rFonts w:asciiTheme="majorHAnsi" w:eastAsia="Calibri" w:hAnsiTheme="majorHAnsi" w:cstheme="majorHAnsi"/>
        </w:rPr>
        <w:t>During the 2020 Legislative General Session</w:t>
      </w:r>
      <w:r w:rsidR="00D85C51">
        <w:rPr>
          <w:rFonts w:asciiTheme="majorHAnsi" w:eastAsia="Calibri" w:hAnsiTheme="majorHAnsi" w:cstheme="majorHAnsi"/>
        </w:rPr>
        <w:t>,</w:t>
      </w:r>
      <w:r w:rsidRPr="00885AC7">
        <w:rPr>
          <w:rFonts w:asciiTheme="majorHAnsi" w:eastAsia="Calibri" w:hAnsiTheme="majorHAnsi" w:cstheme="majorHAnsi"/>
        </w:rPr>
        <w:t xml:space="preserve"> Temporary Assistance for Needy Families (TANF) funding was appropriated through House Bill 2 (HB 2) for </w:t>
      </w:r>
      <w:r w:rsidR="00D85C51">
        <w:rPr>
          <w:rFonts w:asciiTheme="majorHAnsi" w:eastAsia="Calibri" w:hAnsiTheme="majorHAnsi" w:cstheme="majorHAnsi"/>
        </w:rPr>
        <w:t xml:space="preserve">the </w:t>
      </w:r>
      <w:r w:rsidRPr="00885AC7">
        <w:rPr>
          <w:rFonts w:asciiTheme="majorHAnsi" w:eastAsia="Calibri" w:hAnsiTheme="majorHAnsi" w:cstheme="majorHAnsi"/>
        </w:rPr>
        <w:t>Weber County Prosperity Initiative to provide services under the county-level plan that was implemented as a result of the IGP Implementation Pilot Program starting in 2018.</w:t>
      </w:r>
    </w:p>
    <w:p w14:paraId="00000007" w14:textId="77777777" w:rsidR="00750BB8" w:rsidRPr="00885AC7" w:rsidRDefault="00750BB8" w:rsidP="00D85C51">
      <w:pPr>
        <w:ind w:left="720"/>
        <w:jc w:val="both"/>
        <w:rPr>
          <w:rFonts w:asciiTheme="majorHAnsi" w:eastAsia="Calibri" w:hAnsiTheme="majorHAnsi" w:cstheme="majorHAnsi"/>
        </w:rPr>
      </w:pPr>
    </w:p>
    <w:p w14:paraId="00000008" w14:textId="4D288BF0" w:rsidR="00750BB8" w:rsidRPr="00885AC7" w:rsidRDefault="00885AC7" w:rsidP="00D85C51">
      <w:pPr>
        <w:ind w:left="720"/>
        <w:jc w:val="both"/>
        <w:rPr>
          <w:rFonts w:asciiTheme="majorHAnsi" w:eastAsia="Calibri" w:hAnsiTheme="majorHAnsi" w:cstheme="majorHAnsi"/>
        </w:rPr>
      </w:pPr>
      <w:r w:rsidRPr="00885AC7">
        <w:rPr>
          <w:rFonts w:asciiTheme="majorHAnsi" w:eastAsia="Calibri" w:hAnsiTheme="majorHAnsi" w:cstheme="majorHAnsi"/>
        </w:rPr>
        <w:t>Funding will allow the County to provide services that meet</w:t>
      </w:r>
      <w:r w:rsidR="00D85C51">
        <w:rPr>
          <w:rFonts w:asciiTheme="majorHAnsi" w:eastAsia="Calibri" w:hAnsiTheme="majorHAnsi" w:cstheme="majorHAnsi"/>
        </w:rPr>
        <w:t>s</w:t>
      </w:r>
      <w:r w:rsidRPr="00885AC7">
        <w:rPr>
          <w:rFonts w:asciiTheme="majorHAnsi" w:eastAsia="Calibri" w:hAnsiTheme="majorHAnsi" w:cstheme="majorHAnsi"/>
        </w:rPr>
        <w:t xml:space="preserve"> TANF Purpose 2, to: reduce the dependency of needy parents by promoting job preparation, work, and marriage. In Weber County, 10% of children (7200+) are experiencing intergenerational poverty. This funding will scale the proven, child-centric, human-centered design, Integrated Community Action Now (ICAN) model to serve children experiencing intergenerational poverty and their families. The ICAN model uses resource integration coaches to work with parents to increase family resilience by implementing evidence-based programs and customizing the integration of resources and services for each child and adult in the household participating in ICAN to directly impact the future economic well-being of children and mitigate the adverse social environments and adverse childhood experiences (ACES), too often resulting from intergenerational poverty.</w:t>
      </w:r>
    </w:p>
    <w:p w14:paraId="00000009" w14:textId="77777777" w:rsidR="00750BB8" w:rsidRPr="00885AC7" w:rsidRDefault="00885AC7" w:rsidP="00D85C51">
      <w:pPr>
        <w:numPr>
          <w:ilvl w:val="0"/>
          <w:numId w:val="1"/>
        </w:numPr>
        <w:spacing w:before="200"/>
        <w:jc w:val="both"/>
        <w:rPr>
          <w:rFonts w:asciiTheme="majorHAnsi" w:eastAsia="Calibri" w:hAnsiTheme="majorHAnsi" w:cstheme="majorHAnsi"/>
        </w:rPr>
      </w:pPr>
      <w:r w:rsidRPr="00885AC7">
        <w:rPr>
          <w:rFonts w:asciiTheme="majorHAnsi" w:eastAsia="Calibri" w:hAnsiTheme="majorHAnsi" w:cstheme="majorHAnsi"/>
          <w:b/>
        </w:rPr>
        <w:t xml:space="preserve">Contractor Responsibilities </w:t>
      </w:r>
    </w:p>
    <w:p w14:paraId="0000000A" w14:textId="278D4EE8" w:rsidR="00750BB8" w:rsidRPr="00885AC7" w:rsidRDefault="00885AC7" w:rsidP="00D85C51">
      <w:pPr>
        <w:numPr>
          <w:ilvl w:val="1"/>
          <w:numId w:val="1"/>
        </w:numPr>
        <w:jc w:val="both"/>
        <w:rPr>
          <w:rFonts w:asciiTheme="majorHAnsi" w:hAnsiTheme="majorHAnsi" w:cstheme="majorHAnsi"/>
        </w:rPr>
      </w:pPr>
      <w:r w:rsidRPr="00885AC7">
        <w:rPr>
          <w:rFonts w:asciiTheme="majorHAnsi" w:eastAsia="Calibri" w:hAnsiTheme="majorHAnsi" w:cstheme="majorHAnsi"/>
          <w:b/>
        </w:rPr>
        <w:t>Objective</w:t>
      </w:r>
      <w:r w:rsidR="00D85C51">
        <w:rPr>
          <w:rFonts w:asciiTheme="majorHAnsi" w:eastAsia="Calibri" w:hAnsiTheme="majorHAnsi" w:cstheme="majorHAnsi"/>
          <w:b/>
        </w:rPr>
        <w:t>s</w:t>
      </w:r>
    </w:p>
    <w:p w14:paraId="0000000B" w14:textId="68A2AAE6" w:rsidR="00750BB8" w:rsidRPr="00885AC7" w:rsidRDefault="00885AC7" w:rsidP="00D85C51">
      <w:pPr>
        <w:ind w:left="900" w:firstLine="360"/>
        <w:jc w:val="both"/>
        <w:rPr>
          <w:rFonts w:asciiTheme="majorHAnsi" w:eastAsia="Calibri" w:hAnsiTheme="majorHAnsi" w:cstheme="majorHAnsi"/>
        </w:rPr>
      </w:pPr>
      <w:r w:rsidRPr="00885AC7">
        <w:rPr>
          <w:rFonts w:asciiTheme="majorHAnsi" w:eastAsia="Calibri" w:hAnsiTheme="majorHAnsi" w:cstheme="majorHAnsi"/>
        </w:rPr>
        <w:t xml:space="preserve">Through the Weber County Prosperity </w:t>
      </w:r>
      <w:r w:rsidR="00471786" w:rsidRPr="00885AC7">
        <w:rPr>
          <w:rFonts w:asciiTheme="majorHAnsi" w:eastAsia="Calibri" w:hAnsiTheme="majorHAnsi" w:cstheme="majorHAnsi"/>
        </w:rPr>
        <w:t>Initiative,</w:t>
      </w:r>
      <w:r w:rsidRPr="00885AC7">
        <w:rPr>
          <w:rFonts w:asciiTheme="majorHAnsi" w:eastAsia="Calibri" w:hAnsiTheme="majorHAnsi" w:cstheme="majorHAnsi"/>
        </w:rPr>
        <w:t xml:space="preserve"> the County will:</w:t>
      </w:r>
    </w:p>
    <w:p w14:paraId="0000000C" w14:textId="5620BD33" w:rsidR="00750BB8" w:rsidRPr="00885AC7" w:rsidRDefault="00885AC7" w:rsidP="00D85C51">
      <w:pPr>
        <w:numPr>
          <w:ilvl w:val="2"/>
          <w:numId w:val="1"/>
        </w:numPr>
        <w:jc w:val="both"/>
        <w:rPr>
          <w:rFonts w:asciiTheme="majorHAnsi" w:eastAsia="Calibri" w:hAnsiTheme="majorHAnsi" w:cstheme="majorHAnsi"/>
        </w:rPr>
      </w:pPr>
      <w:r w:rsidRPr="00885AC7">
        <w:rPr>
          <w:rFonts w:asciiTheme="majorHAnsi" w:eastAsia="Calibri" w:hAnsiTheme="majorHAnsi" w:cstheme="majorHAnsi"/>
        </w:rPr>
        <w:t xml:space="preserve">Continue to provide services under their county-level plan </w:t>
      </w:r>
      <w:r w:rsidR="00D85C51">
        <w:rPr>
          <w:rFonts w:asciiTheme="majorHAnsi" w:eastAsia="Calibri" w:hAnsiTheme="majorHAnsi" w:cstheme="majorHAnsi"/>
        </w:rPr>
        <w:t xml:space="preserve">to reduce the number of children </w:t>
      </w:r>
      <w:r w:rsidRPr="00885AC7">
        <w:rPr>
          <w:rFonts w:asciiTheme="majorHAnsi" w:eastAsia="Calibri" w:hAnsiTheme="majorHAnsi" w:cstheme="majorHAnsi"/>
        </w:rPr>
        <w:t>in their county experiencing intergenerational poverty.</w:t>
      </w:r>
    </w:p>
    <w:p w14:paraId="0000000D" w14:textId="6A2074F3" w:rsidR="00750BB8" w:rsidRPr="00885AC7" w:rsidRDefault="00885AC7" w:rsidP="00D85C51">
      <w:pPr>
        <w:numPr>
          <w:ilvl w:val="2"/>
          <w:numId w:val="1"/>
        </w:numPr>
        <w:jc w:val="both"/>
        <w:rPr>
          <w:rFonts w:asciiTheme="majorHAnsi" w:eastAsia="Calibri" w:hAnsiTheme="majorHAnsi" w:cstheme="majorHAnsi"/>
        </w:rPr>
      </w:pPr>
      <w:r w:rsidRPr="00885AC7">
        <w:rPr>
          <w:rFonts w:asciiTheme="majorHAnsi" w:eastAsia="Calibri" w:hAnsiTheme="majorHAnsi" w:cstheme="majorHAnsi"/>
        </w:rPr>
        <w:t>Bring together cross-agency representatives, as well as cross-system r</w:t>
      </w:r>
      <w:r w:rsidR="00471786">
        <w:rPr>
          <w:rFonts w:asciiTheme="majorHAnsi" w:eastAsia="Calibri" w:hAnsiTheme="majorHAnsi" w:cstheme="majorHAnsi"/>
        </w:rPr>
        <w:t>epresentatives, to implement the ICAN model</w:t>
      </w:r>
      <w:r w:rsidRPr="00885AC7">
        <w:rPr>
          <w:rFonts w:asciiTheme="majorHAnsi" w:eastAsia="Calibri" w:hAnsiTheme="majorHAnsi" w:cstheme="majorHAnsi"/>
        </w:rPr>
        <w:t>, thereby minimizing silos of service delivery and developing a coordinated system within the community to address the needs of TANF eligible families.</w:t>
      </w:r>
    </w:p>
    <w:p w14:paraId="0000000E" w14:textId="77777777" w:rsidR="00750BB8" w:rsidRPr="00885AC7" w:rsidRDefault="00885AC7" w:rsidP="00D85C51">
      <w:pPr>
        <w:numPr>
          <w:ilvl w:val="2"/>
          <w:numId w:val="1"/>
        </w:numPr>
        <w:jc w:val="both"/>
        <w:rPr>
          <w:rFonts w:asciiTheme="majorHAnsi" w:eastAsia="Calibri" w:hAnsiTheme="majorHAnsi" w:cstheme="majorHAnsi"/>
        </w:rPr>
      </w:pPr>
      <w:r w:rsidRPr="00885AC7">
        <w:rPr>
          <w:rFonts w:asciiTheme="majorHAnsi" w:eastAsia="Calibri" w:hAnsiTheme="majorHAnsi" w:cstheme="majorHAnsi"/>
        </w:rPr>
        <w:t>Leverage the efforts of the community to ensure progress toward the Intergenerational Welfare Reform Commission goals without duplication of services.</w:t>
      </w:r>
    </w:p>
    <w:p w14:paraId="0000000F" w14:textId="77777777" w:rsidR="00750BB8" w:rsidRPr="00885AC7" w:rsidRDefault="00885AC7" w:rsidP="00D85C51">
      <w:pPr>
        <w:numPr>
          <w:ilvl w:val="1"/>
          <w:numId w:val="1"/>
        </w:numPr>
        <w:jc w:val="both"/>
        <w:rPr>
          <w:rFonts w:asciiTheme="majorHAnsi" w:hAnsiTheme="majorHAnsi" w:cstheme="majorHAnsi"/>
        </w:rPr>
      </w:pPr>
      <w:r w:rsidRPr="00885AC7">
        <w:rPr>
          <w:rFonts w:asciiTheme="majorHAnsi" w:eastAsia="Calibri" w:hAnsiTheme="majorHAnsi" w:cstheme="majorHAnsi"/>
          <w:b/>
        </w:rPr>
        <w:t>Programming</w:t>
      </w:r>
    </w:p>
    <w:p w14:paraId="00000010" w14:textId="77777777" w:rsidR="00750BB8" w:rsidRPr="00885AC7" w:rsidRDefault="00885AC7" w:rsidP="00D85C51">
      <w:pPr>
        <w:numPr>
          <w:ilvl w:val="2"/>
          <w:numId w:val="1"/>
        </w:numPr>
        <w:jc w:val="both"/>
        <w:rPr>
          <w:rFonts w:asciiTheme="majorHAnsi" w:eastAsia="Calibri" w:hAnsiTheme="majorHAnsi" w:cstheme="majorHAnsi"/>
        </w:rPr>
      </w:pPr>
      <w:r w:rsidRPr="00885AC7">
        <w:rPr>
          <w:rFonts w:asciiTheme="majorHAnsi" w:eastAsia="Calibri" w:hAnsiTheme="majorHAnsi" w:cstheme="majorHAnsi"/>
        </w:rPr>
        <w:t>Implement and provide services under the Weber County Prosperity Initiative to provide an integrated system of support by increasing the social capital of IGP children by incorporating two-generational strategies.</w:t>
      </w:r>
    </w:p>
    <w:p w14:paraId="00000011" w14:textId="7A338988" w:rsidR="00750BB8" w:rsidRPr="00885AC7" w:rsidRDefault="00885AC7" w:rsidP="00D85C51">
      <w:pPr>
        <w:numPr>
          <w:ilvl w:val="2"/>
          <w:numId w:val="1"/>
        </w:numPr>
        <w:jc w:val="both"/>
        <w:rPr>
          <w:rFonts w:asciiTheme="majorHAnsi" w:eastAsia="Calibri" w:hAnsiTheme="majorHAnsi" w:cstheme="majorHAnsi"/>
        </w:rPr>
      </w:pPr>
      <w:r w:rsidRPr="00885AC7">
        <w:rPr>
          <w:rFonts w:asciiTheme="majorHAnsi" w:eastAsia="Calibri" w:hAnsiTheme="majorHAnsi" w:cstheme="majorHAnsi"/>
        </w:rPr>
        <w:t xml:space="preserve">Each TANF eligible family works with a Resource Integration Coach (RIC). The RICs will work with TANF eligible participants to customize an action plan and build family resilience. </w:t>
      </w:r>
    </w:p>
    <w:p w14:paraId="00000012" w14:textId="71F1616B" w:rsidR="00750BB8" w:rsidRPr="00885AC7" w:rsidRDefault="00885AC7" w:rsidP="00D85C51">
      <w:pPr>
        <w:numPr>
          <w:ilvl w:val="3"/>
          <w:numId w:val="1"/>
        </w:numPr>
        <w:jc w:val="both"/>
        <w:rPr>
          <w:rFonts w:asciiTheme="majorHAnsi" w:eastAsia="Calibri" w:hAnsiTheme="majorHAnsi" w:cstheme="majorHAnsi"/>
        </w:rPr>
      </w:pPr>
      <w:r w:rsidRPr="00885AC7">
        <w:rPr>
          <w:rFonts w:asciiTheme="majorHAnsi" w:eastAsia="Calibri" w:hAnsiTheme="majorHAnsi" w:cstheme="majorHAnsi"/>
        </w:rPr>
        <w:lastRenderedPageBreak/>
        <w:t xml:space="preserve">Action </w:t>
      </w:r>
      <w:r w:rsidR="00471786">
        <w:rPr>
          <w:rFonts w:asciiTheme="majorHAnsi" w:eastAsia="Calibri" w:hAnsiTheme="majorHAnsi" w:cstheme="majorHAnsi"/>
        </w:rPr>
        <w:t>plans will be developed using a trauma-</w:t>
      </w:r>
      <w:r w:rsidRPr="00885AC7">
        <w:rPr>
          <w:rFonts w:asciiTheme="majorHAnsi" w:eastAsia="Calibri" w:hAnsiTheme="majorHAnsi" w:cstheme="majorHAnsi"/>
        </w:rPr>
        <w:t>informed approach that is tailored to each participant’s needs and continue to build on this plan to accomplish the participant’s identified goals.</w:t>
      </w:r>
    </w:p>
    <w:p w14:paraId="00000013" w14:textId="1968B909" w:rsidR="00750BB8" w:rsidRPr="00885AC7" w:rsidRDefault="00471786" w:rsidP="00D85C51">
      <w:pPr>
        <w:numPr>
          <w:ilvl w:val="3"/>
          <w:numId w:val="1"/>
        </w:numPr>
        <w:jc w:val="both"/>
        <w:rPr>
          <w:rFonts w:asciiTheme="majorHAnsi" w:eastAsia="Calibri" w:hAnsiTheme="majorHAnsi" w:cstheme="majorHAnsi"/>
        </w:rPr>
      </w:pPr>
      <w:r>
        <w:rPr>
          <w:rFonts w:asciiTheme="majorHAnsi" w:eastAsia="Calibri" w:hAnsiTheme="majorHAnsi" w:cstheme="majorHAnsi"/>
        </w:rPr>
        <w:t>RIC</w:t>
      </w:r>
      <w:r w:rsidR="00885AC7" w:rsidRPr="00885AC7">
        <w:rPr>
          <w:rFonts w:asciiTheme="majorHAnsi" w:eastAsia="Calibri" w:hAnsiTheme="majorHAnsi" w:cstheme="majorHAnsi"/>
        </w:rPr>
        <w:t>s will collect data and report to ICAN leadership on the progress made</w:t>
      </w:r>
      <w:r>
        <w:rPr>
          <w:rFonts w:asciiTheme="majorHAnsi" w:eastAsia="Calibri" w:hAnsiTheme="majorHAnsi" w:cstheme="majorHAnsi"/>
        </w:rPr>
        <w:t xml:space="preserve"> towards the completion of the action p</w:t>
      </w:r>
      <w:r w:rsidR="00885AC7" w:rsidRPr="00885AC7">
        <w:rPr>
          <w:rFonts w:asciiTheme="majorHAnsi" w:eastAsia="Calibri" w:hAnsiTheme="majorHAnsi" w:cstheme="majorHAnsi"/>
        </w:rPr>
        <w:t>lan goals. These goals will be built around, but not limited to, these four domains:</w:t>
      </w:r>
    </w:p>
    <w:p w14:paraId="00000014" w14:textId="77777777" w:rsidR="00750BB8" w:rsidRPr="00885AC7" w:rsidRDefault="00885AC7" w:rsidP="00D85C51">
      <w:pPr>
        <w:numPr>
          <w:ilvl w:val="0"/>
          <w:numId w:val="2"/>
        </w:numPr>
        <w:ind w:left="2970"/>
        <w:jc w:val="both"/>
        <w:rPr>
          <w:rFonts w:asciiTheme="majorHAnsi" w:eastAsia="Calibri" w:hAnsiTheme="majorHAnsi" w:cstheme="majorHAnsi"/>
          <w:color w:val="2F2F2F"/>
        </w:rPr>
      </w:pPr>
      <w:r w:rsidRPr="00885AC7">
        <w:rPr>
          <w:rFonts w:asciiTheme="majorHAnsi" w:eastAsia="Calibri" w:hAnsiTheme="majorHAnsi" w:cstheme="majorHAnsi"/>
          <w:color w:val="2F2F2F"/>
        </w:rPr>
        <w:t>Early Childhood Development 0-6 years of age</w:t>
      </w:r>
    </w:p>
    <w:p w14:paraId="00000015" w14:textId="77777777" w:rsidR="00750BB8" w:rsidRPr="00885AC7" w:rsidRDefault="00885AC7" w:rsidP="00D85C51">
      <w:pPr>
        <w:numPr>
          <w:ilvl w:val="1"/>
          <w:numId w:val="2"/>
        </w:numPr>
        <w:ind w:left="3510"/>
        <w:jc w:val="both"/>
        <w:rPr>
          <w:rFonts w:asciiTheme="majorHAnsi" w:eastAsia="Calibri" w:hAnsiTheme="majorHAnsi" w:cstheme="majorHAnsi"/>
          <w:color w:val="2F2F2F"/>
        </w:rPr>
      </w:pPr>
      <w:r w:rsidRPr="00885AC7">
        <w:rPr>
          <w:rFonts w:asciiTheme="majorHAnsi" w:eastAsia="Calibri" w:hAnsiTheme="majorHAnsi" w:cstheme="majorHAnsi"/>
          <w:color w:val="2F2F2F"/>
        </w:rPr>
        <w:t>Education - Pre-schooling - Kindergarten</w:t>
      </w:r>
    </w:p>
    <w:p w14:paraId="00000016" w14:textId="77777777" w:rsidR="00750BB8" w:rsidRPr="00885AC7" w:rsidRDefault="00885AC7" w:rsidP="00D85C51">
      <w:pPr>
        <w:numPr>
          <w:ilvl w:val="1"/>
          <w:numId w:val="2"/>
        </w:numPr>
        <w:ind w:left="3510"/>
        <w:jc w:val="both"/>
        <w:rPr>
          <w:rFonts w:asciiTheme="majorHAnsi" w:eastAsia="Calibri" w:hAnsiTheme="majorHAnsi" w:cstheme="majorHAnsi"/>
          <w:color w:val="2F2F2F"/>
        </w:rPr>
      </w:pPr>
      <w:r w:rsidRPr="00885AC7">
        <w:rPr>
          <w:rFonts w:asciiTheme="majorHAnsi" w:eastAsia="Calibri" w:hAnsiTheme="majorHAnsi" w:cstheme="majorHAnsi"/>
          <w:color w:val="2F2F2F"/>
        </w:rPr>
        <w:t>Parenting skills development courses</w:t>
      </w:r>
    </w:p>
    <w:p w14:paraId="00000017" w14:textId="77777777" w:rsidR="00750BB8" w:rsidRPr="00885AC7" w:rsidRDefault="00885AC7" w:rsidP="00D85C51">
      <w:pPr>
        <w:numPr>
          <w:ilvl w:val="1"/>
          <w:numId w:val="2"/>
        </w:numPr>
        <w:ind w:left="3510"/>
        <w:jc w:val="both"/>
        <w:rPr>
          <w:rFonts w:asciiTheme="majorHAnsi" w:eastAsia="Calibri" w:hAnsiTheme="majorHAnsi" w:cstheme="majorHAnsi"/>
          <w:color w:val="2F2F2F"/>
        </w:rPr>
      </w:pPr>
      <w:r w:rsidRPr="00885AC7">
        <w:rPr>
          <w:rFonts w:asciiTheme="majorHAnsi" w:eastAsia="Calibri" w:hAnsiTheme="majorHAnsi" w:cstheme="majorHAnsi"/>
          <w:color w:val="2F2F2F"/>
        </w:rPr>
        <w:t>Strong parent - child bond</w:t>
      </w:r>
    </w:p>
    <w:p w14:paraId="00000018" w14:textId="6EB3C927" w:rsidR="00750BB8" w:rsidRPr="00885AC7" w:rsidRDefault="00885AC7" w:rsidP="00D85C51">
      <w:pPr>
        <w:numPr>
          <w:ilvl w:val="0"/>
          <w:numId w:val="2"/>
        </w:numPr>
        <w:ind w:left="2970"/>
        <w:jc w:val="both"/>
        <w:rPr>
          <w:rFonts w:asciiTheme="majorHAnsi" w:eastAsia="Calibri" w:hAnsiTheme="majorHAnsi" w:cstheme="majorHAnsi"/>
          <w:color w:val="2F2F2F"/>
        </w:rPr>
      </w:pPr>
      <w:r w:rsidRPr="00885AC7">
        <w:rPr>
          <w:rFonts w:asciiTheme="majorHAnsi" w:eastAsia="Calibri" w:hAnsiTheme="majorHAnsi" w:cstheme="majorHAnsi"/>
          <w:color w:val="2F2F2F"/>
        </w:rPr>
        <w:t>Education in school youth 5-18</w:t>
      </w:r>
      <w:r w:rsidR="00471786">
        <w:rPr>
          <w:rFonts w:asciiTheme="majorHAnsi" w:eastAsia="Calibri" w:hAnsiTheme="majorHAnsi" w:cstheme="majorHAnsi"/>
          <w:color w:val="2F2F2F"/>
        </w:rPr>
        <w:t xml:space="preserve"> years of age</w:t>
      </w:r>
    </w:p>
    <w:p w14:paraId="00000019" w14:textId="77777777" w:rsidR="00750BB8" w:rsidRPr="00885AC7" w:rsidRDefault="00885AC7" w:rsidP="00D85C51">
      <w:pPr>
        <w:numPr>
          <w:ilvl w:val="1"/>
          <w:numId w:val="2"/>
        </w:numPr>
        <w:ind w:left="3510"/>
        <w:jc w:val="both"/>
        <w:rPr>
          <w:rFonts w:asciiTheme="majorHAnsi" w:eastAsia="Calibri" w:hAnsiTheme="majorHAnsi" w:cstheme="majorHAnsi"/>
          <w:color w:val="2F2F2F"/>
        </w:rPr>
      </w:pPr>
      <w:r w:rsidRPr="00885AC7">
        <w:rPr>
          <w:rFonts w:asciiTheme="majorHAnsi" w:eastAsia="Calibri" w:hAnsiTheme="majorHAnsi" w:cstheme="majorHAnsi"/>
          <w:color w:val="2F2F2F"/>
        </w:rPr>
        <w:t>After school programing</w:t>
      </w:r>
    </w:p>
    <w:p w14:paraId="0000001A" w14:textId="77777777" w:rsidR="00750BB8" w:rsidRPr="00885AC7" w:rsidRDefault="00885AC7" w:rsidP="00D85C51">
      <w:pPr>
        <w:numPr>
          <w:ilvl w:val="1"/>
          <w:numId w:val="2"/>
        </w:numPr>
        <w:ind w:left="3510"/>
        <w:jc w:val="both"/>
        <w:rPr>
          <w:rFonts w:asciiTheme="majorHAnsi" w:eastAsia="Calibri" w:hAnsiTheme="majorHAnsi" w:cstheme="majorHAnsi"/>
          <w:color w:val="2F2F2F"/>
        </w:rPr>
      </w:pPr>
      <w:r w:rsidRPr="00885AC7">
        <w:rPr>
          <w:rFonts w:asciiTheme="majorHAnsi" w:eastAsia="Calibri" w:hAnsiTheme="majorHAnsi" w:cstheme="majorHAnsi"/>
          <w:color w:val="2F2F2F"/>
        </w:rPr>
        <w:t>Attendance</w:t>
      </w:r>
    </w:p>
    <w:p w14:paraId="0000001B" w14:textId="146A215E" w:rsidR="00750BB8" w:rsidRPr="00885AC7" w:rsidRDefault="00885AC7" w:rsidP="00D85C51">
      <w:pPr>
        <w:numPr>
          <w:ilvl w:val="1"/>
          <w:numId w:val="2"/>
        </w:numPr>
        <w:ind w:left="3510"/>
        <w:jc w:val="both"/>
        <w:rPr>
          <w:rFonts w:asciiTheme="majorHAnsi" w:eastAsia="Calibri" w:hAnsiTheme="majorHAnsi" w:cstheme="majorHAnsi"/>
          <w:color w:val="2F2F2F"/>
        </w:rPr>
      </w:pPr>
      <w:r w:rsidRPr="00885AC7">
        <w:rPr>
          <w:rFonts w:asciiTheme="majorHAnsi" w:eastAsia="Calibri" w:hAnsiTheme="majorHAnsi" w:cstheme="majorHAnsi"/>
          <w:color w:val="2F2F2F"/>
        </w:rPr>
        <w:t xml:space="preserve">Retention of </w:t>
      </w:r>
      <w:r w:rsidR="00471786">
        <w:rPr>
          <w:rFonts w:asciiTheme="majorHAnsi" w:eastAsia="Calibri" w:hAnsiTheme="majorHAnsi" w:cstheme="majorHAnsi"/>
          <w:color w:val="2F2F2F"/>
        </w:rPr>
        <w:t xml:space="preserve">grade-level </w:t>
      </w:r>
      <w:r w:rsidRPr="00885AC7">
        <w:rPr>
          <w:rFonts w:asciiTheme="majorHAnsi" w:eastAsia="Calibri" w:hAnsiTheme="majorHAnsi" w:cstheme="majorHAnsi"/>
          <w:color w:val="2F2F2F"/>
        </w:rPr>
        <w:t>Language Arts and Math</w:t>
      </w:r>
    </w:p>
    <w:p w14:paraId="0000001C" w14:textId="33FE77C8" w:rsidR="00750BB8" w:rsidRPr="00885AC7" w:rsidRDefault="00885AC7" w:rsidP="00D85C51">
      <w:pPr>
        <w:numPr>
          <w:ilvl w:val="1"/>
          <w:numId w:val="2"/>
        </w:numPr>
        <w:ind w:left="3510"/>
        <w:jc w:val="both"/>
        <w:rPr>
          <w:rFonts w:asciiTheme="majorHAnsi" w:eastAsia="Calibri" w:hAnsiTheme="majorHAnsi" w:cstheme="majorHAnsi"/>
          <w:color w:val="2F2F2F"/>
        </w:rPr>
      </w:pPr>
      <w:r w:rsidRPr="00885AC7">
        <w:rPr>
          <w:rFonts w:asciiTheme="majorHAnsi" w:eastAsia="Calibri" w:hAnsiTheme="majorHAnsi" w:cstheme="majorHAnsi"/>
          <w:color w:val="2F2F2F"/>
        </w:rPr>
        <w:t>Parents eng</w:t>
      </w:r>
      <w:r>
        <w:rPr>
          <w:rFonts w:asciiTheme="majorHAnsi" w:eastAsia="Calibri" w:hAnsiTheme="majorHAnsi" w:cstheme="majorHAnsi"/>
          <w:color w:val="2F2F2F"/>
        </w:rPr>
        <w:t>aging with children in homework</w:t>
      </w:r>
      <w:r w:rsidRPr="00885AC7">
        <w:rPr>
          <w:rFonts w:asciiTheme="majorHAnsi" w:eastAsia="Calibri" w:hAnsiTheme="majorHAnsi" w:cstheme="majorHAnsi"/>
          <w:color w:val="2F2F2F"/>
        </w:rPr>
        <w:t xml:space="preserve"> and after school activities</w:t>
      </w:r>
    </w:p>
    <w:p w14:paraId="0000001D" w14:textId="77777777" w:rsidR="00750BB8" w:rsidRPr="00885AC7" w:rsidRDefault="00885AC7" w:rsidP="00D85C51">
      <w:pPr>
        <w:numPr>
          <w:ilvl w:val="1"/>
          <w:numId w:val="2"/>
        </w:numPr>
        <w:ind w:left="3510"/>
        <w:jc w:val="both"/>
        <w:rPr>
          <w:rFonts w:asciiTheme="majorHAnsi" w:eastAsia="Calibri" w:hAnsiTheme="majorHAnsi" w:cstheme="majorHAnsi"/>
          <w:color w:val="2F2F2F"/>
        </w:rPr>
      </w:pPr>
      <w:r w:rsidRPr="00885AC7">
        <w:rPr>
          <w:rFonts w:asciiTheme="majorHAnsi" w:eastAsia="Calibri" w:hAnsiTheme="majorHAnsi" w:cstheme="majorHAnsi"/>
          <w:color w:val="2F2F2F"/>
        </w:rPr>
        <w:t>On track for graduation</w:t>
      </w:r>
    </w:p>
    <w:p w14:paraId="0000001E" w14:textId="77777777" w:rsidR="00750BB8" w:rsidRPr="00885AC7" w:rsidRDefault="00885AC7" w:rsidP="00D85C51">
      <w:pPr>
        <w:numPr>
          <w:ilvl w:val="0"/>
          <w:numId w:val="2"/>
        </w:numPr>
        <w:ind w:left="2970"/>
        <w:jc w:val="both"/>
        <w:rPr>
          <w:rFonts w:asciiTheme="majorHAnsi" w:eastAsia="Calibri" w:hAnsiTheme="majorHAnsi" w:cstheme="majorHAnsi"/>
          <w:color w:val="2F2F2F"/>
        </w:rPr>
      </w:pPr>
      <w:r w:rsidRPr="00885AC7">
        <w:rPr>
          <w:rFonts w:asciiTheme="majorHAnsi" w:eastAsia="Calibri" w:hAnsiTheme="majorHAnsi" w:cstheme="majorHAnsi"/>
          <w:color w:val="2F2F2F"/>
        </w:rPr>
        <w:t>Health</w:t>
      </w:r>
    </w:p>
    <w:p w14:paraId="0000001F" w14:textId="77777777" w:rsidR="00750BB8" w:rsidRPr="00885AC7" w:rsidRDefault="00885AC7" w:rsidP="00D85C51">
      <w:pPr>
        <w:numPr>
          <w:ilvl w:val="1"/>
          <w:numId w:val="2"/>
        </w:numPr>
        <w:ind w:left="3510"/>
        <w:jc w:val="both"/>
        <w:rPr>
          <w:rFonts w:asciiTheme="majorHAnsi" w:eastAsia="Calibri" w:hAnsiTheme="majorHAnsi" w:cstheme="majorHAnsi"/>
          <w:color w:val="2F2F2F"/>
        </w:rPr>
      </w:pPr>
      <w:r w:rsidRPr="00885AC7">
        <w:rPr>
          <w:rFonts w:asciiTheme="majorHAnsi" w:eastAsia="Calibri" w:hAnsiTheme="majorHAnsi" w:cstheme="majorHAnsi"/>
          <w:color w:val="2F2F2F"/>
        </w:rPr>
        <w:t>Medical insurance</w:t>
      </w:r>
    </w:p>
    <w:p w14:paraId="00000020" w14:textId="77777777" w:rsidR="00750BB8" w:rsidRPr="00885AC7" w:rsidRDefault="00885AC7" w:rsidP="00D85C51">
      <w:pPr>
        <w:numPr>
          <w:ilvl w:val="1"/>
          <w:numId w:val="2"/>
        </w:numPr>
        <w:ind w:left="3510"/>
        <w:jc w:val="both"/>
        <w:rPr>
          <w:rFonts w:asciiTheme="majorHAnsi" w:eastAsia="Calibri" w:hAnsiTheme="majorHAnsi" w:cstheme="majorHAnsi"/>
          <w:color w:val="2F2F2F"/>
        </w:rPr>
      </w:pPr>
      <w:r w:rsidRPr="00885AC7">
        <w:rPr>
          <w:rFonts w:asciiTheme="majorHAnsi" w:eastAsia="Calibri" w:hAnsiTheme="majorHAnsi" w:cstheme="majorHAnsi"/>
          <w:color w:val="2F2F2F"/>
        </w:rPr>
        <w:t>Behavioral/mental health services for youth and parents</w:t>
      </w:r>
    </w:p>
    <w:p w14:paraId="00000021" w14:textId="77777777" w:rsidR="00750BB8" w:rsidRPr="00885AC7" w:rsidRDefault="00885AC7" w:rsidP="00D85C51">
      <w:pPr>
        <w:numPr>
          <w:ilvl w:val="1"/>
          <w:numId w:val="2"/>
        </w:numPr>
        <w:ind w:left="3510"/>
        <w:jc w:val="both"/>
        <w:rPr>
          <w:rFonts w:asciiTheme="majorHAnsi" w:eastAsia="Calibri" w:hAnsiTheme="majorHAnsi" w:cstheme="majorHAnsi"/>
          <w:color w:val="2F2F2F"/>
        </w:rPr>
      </w:pPr>
      <w:r w:rsidRPr="00885AC7">
        <w:rPr>
          <w:rFonts w:asciiTheme="majorHAnsi" w:eastAsia="Calibri" w:hAnsiTheme="majorHAnsi" w:cstheme="majorHAnsi"/>
          <w:color w:val="2F2F2F"/>
        </w:rPr>
        <w:t xml:space="preserve">Attend regular medical well-visits and receive dental care </w:t>
      </w:r>
    </w:p>
    <w:p w14:paraId="00000022" w14:textId="10E8E0C9" w:rsidR="00750BB8" w:rsidRPr="00885AC7" w:rsidRDefault="00885AC7" w:rsidP="00D85C51">
      <w:pPr>
        <w:numPr>
          <w:ilvl w:val="0"/>
          <w:numId w:val="2"/>
        </w:numPr>
        <w:ind w:left="2970"/>
        <w:jc w:val="both"/>
        <w:rPr>
          <w:rFonts w:asciiTheme="majorHAnsi" w:eastAsia="Calibri" w:hAnsiTheme="majorHAnsi" w:cstheme="majorHAnsi"/>
          <w:color w:val="2F2F2F"/>
        </w:rPr>
      </w:pPr>
      <w:r w:rsidRPr="00885AC7">
        <w:rPr>
          <w:rFonts w:asciiTheme="majorHAnsi" w:eastAsia="Calibri" w:hAnsiTheme="majorHAnsi" w:cstheme="majorHAnsi"/>
        </w:rPr>
        <w:t xml:space="preserve">Family </w:t>
      </w:r>
      <w:r w:rsidR="00D45A29">
        <w:rPr>
          <w:rFonts w:asciiTheme="majorHAnsi" w:eastAsia="Calibri" w:hAnsiTheme="majorHAnsi" w:cstheme="majorHAnsi"/>
        </w:rPr>
        <w:t>Economic Stability</w:t>
      </w:r>
    </w:p>
    <w:p w14:paraId="00000023" w14:textId="77777777" w:rsidR="00750BB8" w:rsidRPr="00885AC7" w:rsidRDefault="00885AC7" w:rsidP="00D85C51">
      <w:pPr>
        <w:numPr>
          <w:ilvl w:val="1"/>
          <w:numId w:val="2"/>
        </w:numPr>
        <w:ind w:left="3510"/>
        <w:jc w:val="both"/>
        <w:rPr>
          <w:rFonts w:asciiTheme="majorHAnsi" w:eastAsia="Calibri" w:hAnsiTheme="majorHAnsi" w:cstheme="majorHAnsi"/>
        </w:rPr>
      </w:pPr>
      <w:r w:rsidRPr="00885AC7">
        <w:rPr>
          <w:rFonts w:asciiTheme="majorHAnsi" w:eastAsia="Calibri" w:hAnsiTheme="majorHAnsi" w:cstheme="majorHAnsi"/>
        </w:rPr>
        <w:t>Decrease barriers to job search and employability</w:t>
      </w:r>
    </w:p>
    <w:p w14:paraId="00000024" w14:textId="77777777" w:rsidR="00750BB8" w:rsidRPr="00885AC7" w:rsidRDefault="00885AC7" w:rsidP="00D85C51">
      <w:pPr>
        <w:numPr>
          <w:ilvl w:val="1"/>
          <w:numId w:val="2"/>
        </w:numPr>
        <w:ind w:left="3510"/>
        <w:jc w:val="both"/>
        <w:rPr>
          <w:rFonts w:asciiTheme="majorHAnsi" w:eastAsia="Calibri" w:hAnsiTheme="majorHAnsi" w:cstheme="majorHAnsi"/>
        </w:rPr>
      </w:pPr>
      <w:r w:rsidRPr="00885AC7">
        <w:rPr>
          <w:rFonts w:asciiTheme="majorHAnsi" w:eastAsia="Calibri" w:hAnsiTheme="majorHAnsi" w:cstheme="majorHAnsi"/>
        </w:rPr>
        <w:t>Family Resilience</w:t>
      </w:r>
    </w:p>
    <w:p w14:paraId="00000025" w14:textId="77777777" w:rsidR="00750BB8" w:rsidRPr="00885AC7" w:rsidRDefault="00885AC7" w:rsidP="00D85C51">
      <w:pPr>
        <w:numPr>
          <w:ilvl w:val="2"/>
          <w:numId w:val="1"/>
        </w:numPr>
        <w:jc w:val="both"/>
        <w:rPr>
          <w:rFonts w:asciiTheme="majorHAnsi" w:eastAsia="Calibri" w:hAnsiTheme="majorHAnsi" w:cstheme="majorHAnsi"/>
          <w:highlight w:val="white"/>
        </w:rPr>
      </w:pPr>
      <w:r w:rsidRPr="00885AC7">
        <w:rPr>
          <w:rFonts w:asciiTheme="majorHAnsi" w:eastAsia="Calibri" w:hAnsiTheme="majorHAnsi" w:cstheme="majorHAnsi"/>
          <w:highlight w:val="white"/>
        </w:rPr>
        <w:t>Grantees will be expected to post all open jobs with DWS and ensure all unemployed participants are registered and trained on utilizing jobs.utah.gov in their job search.</w:t>
      </w:r>
    </w:p>
    <w:p w14:paraId="00000026" w14:textId="77777777" w:rsidR="00750BB8" w:rsidRPr="00885AC7" w:rsidRDefault="00885AC7" w:rsidP="00D85C51">
      <w:pPr>
        <w:numPr>
          <w:ilvl w:val="1"/>
          <w:numId w:val="1"/>
        </w:numPr>
        <w:spacing w:before="200"/>
        <w:jc w:val="both"/>
        <w:rPr>
          <w:rFonts w:asciiTheme="majorHAnsi" w:hAnsiTheme="majorHAnsi" w:cstheme="majorHAnsi"/>
        </w:rPr>
      </w:pPr>
      <w:r w:rsidRPr="00885AC7">
        <w:rPr>
          <w:rFonts w:asciiTheme="majorHAnsi" w:eastAsia="Calibri" w:hAnsiTheme="majorHAnsi" w:cstheme="majorHAnsi"/>
          <w:b/>
        </w:rPr>
        <w:t>CUSTOMER ELIGIBILITY DETERMINATION</w:t>
      </w:r>
    </w:p>
    <w:p w14:paraId="00000027" w14:textId="77777777" w:rsidR="00750BB8" w:rsidRPr="00885AC7" w:rsidRDefault="00885AC7" w:rsidP="00D85C51">
      <w:pPr>
        <w:numPr>
          <w:ilvl w:val="2"/>
          <w:numId w:val="1"/>
        </w:numPr>
        <w:jc w:val="both"/>
        <w:rPr>
          <w:rFonts w:asciiTheme="majorHAnsi" w:eastAsia="Calibri" w:hAnsiTheme="majorHAnsi" w:cstheme="majorHAnsi"/>
        </w:rPr>
      </w:pPr>
      <w:r w:rsidRPr="00885AC7">
        <w:rPr>
          <w:rFonts w:asciiTheme="majorHAnsi" w:eastAsia="Calibri" w:hAnsiTheme="majorHAnsi" w:cstheme="majorHAnsi"/>
        </w:rPr>
        <w:t xml:space="preserve">Serve TANF eligible families and determine eligibility as outlined in the TANF eligibility verification process found on the DWS Contractor website: </w:t>
      </w:r>
      <w:hyperlink r:id="rId5">
        <w:r w:rsidRPr="00885AC7">
          <w:rPr>
            <w:rFonts w:asciiTheme="majorHAnsi" w:eastAsia="Calibri" w:hAnsiTheme="majorHAnsi" w:cstheme="majorHAnsi"/>
            <w:color w:val="1155CC"/>
            <w:u w:val="single"/>
          </w:rPr>
          <w:t>http://iobs.utah.gov/services/tevs/tanfcontract.html</w:t>
        </w:r>
      </w:hyperlink>
      <w:r w:rsidRPr="00885AC7">
        <w:rPr>
          <w:rFonts w:asciiTheme="majorHAnsi" w:eastAsia="Calibri" w:hAnsiTheme="majorHAnsi" w:cstheme="majorHAnsi"/>
        </w:rPr>
        <w:t>.</w:t>
      </w:r>
    </w:p>
    <w:p w14:paraId="00000028" w14:textId="77777777" w:rsidR="00750BB8" w:rsidRPr="00885AC7" w:rsidRDefault="00885AC7" w:rsidP="00D85C51">
      <w:pPr>
        <w:numPr>
          <w:ilvl w:val="3"/>
          <w:numId w:val="1"/>
        </w:numPr>
        <w:jc w:val="both"/>
        <w:rPr>
          <w:rFonts w:asciiTheme="majorHAnsi" w:eastAsia="Calibri" w:hAnsiTheme="majorHAnsi" w:cstheme="majorHAnsi"/>
        </w:rPr>
      </w:pPr>
      <w:r w:rsidRPr="00885AC7">
        <w:rPr>
          <w:rFonts w:asciiTheme="majorHAnsi" w:eastAsia="Calibri" w:hAnsiTheme="majorHAnsi" w:cstheme="majorHAnsi"/>
        </w:rPr>
        <w:t>Families receiving services must have at least one eligible child under the age of 18 or a pregnant woman in her third trimester in the household.</w:t>
      </w:r>
    </w:p>
    <w:p w14:paraId="00000029" w14:textId="77777777" w:rsidR="00750BB8" w:rsidRPr="00885AC7" w:rsidRDefault="00885AC7" w:rsidP="00D85C51">
      <w:pPr>
        <w:numPr>
          <w:ilvl w:val="2"/>
          <w:numId w:val="1"/>
        </w:numPr>
        <w:jc w:val="both"/>
        <w:rPr>
          <w:rFonts w:asciiTheme="majorHAnsi" w:eastAsia="Calibri" w:hAnsiTheme="majorHAnsi" w:cstheme="majorHAnsi"/>
        </w:rPr>
      </w:pPr>
      <w:r w:rsidRPr="00885AC7">
        <w:rPr>
          <w:rFonts w:asciiTheme="majorHAnsi" w:eastAsia="Calibri" w:hAnsiTheme="majorHAnsi" w:cstheme="majorHAnsi"/>
        </w:rPr>
        <w:t>Verify eligibility by completing the TANF Needy Eligibility Form (see Attachment F - Form 300).</w:t>
      </w:r>
    </w:p>
    <w:p w14:paraId="0000002A" w14:textId="299C80DA" w:rsidR="00750BB8" w:rsidRPr="00885AC7" w:rsidRDefault="00885AC7" w:rsidP="00D85C51">
      <w:pPr>
        <w:numPr>
          <w:ilvl w:val="2"/>
          <w:numId w:val="1"/>
        </w:numPr>
        <w:jc w:val="both"/>
        <w:rPr>
          <w:rFonts w:asciiTheme="majorHAnsi" w:eastAsia="Calibri" w:hAnsiTheme="majorHAnsi" w:cstheme="majorHAnsi"/>
        </w:rPr>
      </w:pPr>
      <w:r w:rsidRPr="00885AC7">
        <w:rPr>
          <w:rFonts w:asciiTheme="majorHAnsi" w:eastAsia="Calibri" w:hAnsiTheme="majorHAnsi" w:cstheme="majorHAnsi"/>
        </w:rPr>
        <w:t>Enter participant information into the TANF Eligibi</w:t>
      </w:r>
      <w:r w:rsidR="00D45A29">
        <w:rPr>
          <w:rFonts w:asciiTheme="majorHAnsi" w:eastAsia="Calibri" w:hAnsiTheme="majorHAnsi" w:cstheme="majorHAnsi"/>
        </w:rPr>
        <w:t>lity Verification System (TEVS)</w:t>
      </w:r>
      <w:r w:rsidRPr="00885AC7">
        <w:rPr>
          <w:rFonts w:asciiTheme="majorHAnsi" w:eastAsia="Calibri" w:hAnsiTheme="majorHAnsi" w:cstheme="majorHAnsi"/>
        </w:rPr>
        <w:t>, using the Form 300 (Attachment F). Access the TEVS website at: http://jobs.utah.gov/jsp/tevs.</w:t>
      </w:r>
    </w:p>
    <w:p w14:paraId="0000002B" w14:textId="77777777" w:rsidR="00750BB8" w:rsidRPr="00885AC7" w:rsidRDefault="00885AC7" w:rsidP="00D85C51">
      <w:pPr>
        <w:numPr>
          <w:ilvl w:val="2"/>
          <w:numId w:val="1"/>
        </w:numPr>
        <w:jc w:val="both"/>
        <w:rPr>
          <w:rFonts w:asciiTheme="majorHAnsi" w:eastAsia="Calibri" w:hAnsiTheme="majorHAnsi" w:cstheme="majorHAnsi"/>
        </w:rPr>
      </w:pPr>
      <w:r w:rsidRPr="00885AC7">
        <w:rPr>
          <w:rFonts w:asciiTheme="majorHAnsi" w:eastAsia="Calibri" w:hAnsiTheme="majorHAnsi" w:cstheme="majorHAnsi"/>
        </w:rPr>
        <w:t>Ensure a Release/Disclosure of Information 115C form is signed and dated by the participant (see Attachment E).</w:t>
      </w:r>
    </w:p>
    <w:p w14:paraId="0000002C" w14:textId="77777777" w:rsidR="00750BB8" w:rsidRPr="00885AC7" w:rsidRDefault="00885AC7" w:rsidP="00D85C51">
      <w:pPr>
        <w:numPr>
          <w:ilvl w:val="2"/>
          <w:numId w:val="1"/>
        </w:numPr>
        <w:jc w:val="both"/>
        <w:rPr>
          <w:rFonts w:asciiTheme="majorHAnsi" w:eastAsia="Calibri" w:hAnsiTheme="majorHAnsi" w:cstheme="majorHAnsi"/>
        </w:rPr>
      </w:pPr>
      <w:r w:rsidRPr="00885AC7">
        <w:rPr>
          <w:rFonts w:asciiTheme="majorHAnsi" w:eastAsia="Calibri" w:hAnsiTheme="majorHAnsi" w:cstheme="majorHAnsi"/>
        </w:rPr>
        <w:t>Maintain a case file for all TANF eligible families to include:</w:t>
      </w:r>
    </w:p>
    <w:p w14:paraId="0000002D" w14:textId="77777777" w:rsidR="00750BB8" w:rsidRPr="00885AC7" w:rsidRDefault="00885AC7" w:rsidP="00D85C51">
      <w:pPr>
        <w:numPr>
          <w:ilvl w:val="3"/>
          <w:numId w:val="1"/>
        </w:numPr>
        <w:jc w:val="both"/>
        <w:rPr>
          <w:rFonts w:asciiTheme="majorHAnsi" w:eastAsia="Calibri" w:hAnsiTheme="majorHAnsi" w:cstheme="majorHAnsi"/>
        </w:rPr>
      </w:pPr>
      <w:r w:rsidRPr="00885AC7">
        <w:rPr>
          <w:rFonts w:asciiTheme="majorHAnsi" w:eastAsia="Calibri" w:hAnsiTheme="majorHAnsi" w:cstheme="majorHAnsi"/>
        </w:rPr>
        <w:t>TANF Needy Eligibility Form 300 (see Attachment F - Form 300).</w:t>
      </w:r>
    </w:p>
    <w:p w14:paraId="0000002E" w14:textId="77777777" w:rsidR="00750BB8" w:rsidRPr="00885AC7" w:rsidRDefault="00885AC7" w:rsidP="00D85C51">
      <w:pPr>
        <w:numPr>
          <w:ilvl w:val="3"/>
          <w:numId w:val="1"/>
        </w:numPr>
        <w:jc w:val="both"/>
        <w:rPr>
          <w:rFonts w:asciiTheme="majorHAnsi" w:eastAsia="Calibri" w:hAnsiTheme="majorHAnsi" w:cstheme="majorHAnsi"/>
        </w:rPr>
      </w:pPr>
      <w:r w:rsidRPr="00885AC7">
        <w:rPr>
          <w:rFonts w:asciiTheme="majorHAnsi" w:eastAsia="Calibri" w:hAnsiTheme="majorHAnsi" w:cstheme="majorHAnsi"/>
        </w:rPr>
        <w:lastRenderedPageBreak/>
        <w:t>Release/Disclosure of Information Form 115C (see Attachment E).</w:t>
      </w:r>
    </w:p>
    <w:p w14:paraId="0000002F" w14:textId="28E6799A" w:rsidR="00750BB8" w:rsidRPr="00885AC7" w:rsidRDefault="00D45A29" w:rsidP="00D85C51">
      <w:pPr>
        <w:numPr>
          <w:ilvl w:val="3"/>
          <w:numId w:val="1"/>
        </w:numPr>
        <w:jc w:val="both"/>
        <w:rPr>
          <w:rFonts w:asciiTheme="majorHAnsi" w:eastAsia="Calibri" w:hAnsiTheme="majorHAnsi" w:cstheme="majorHAnsi"/>
        </w:rPr>
      </w:pPr>
      <w:r>
        <w:rPr>
          <w:rFonts w:asciiTheme="majorHAnsi" w:eastAsia="Calibri" w:hAnsiTheme="majorHAnsi" w:cstheme="majorHAnsi"/>
        </w:rPr>
        <w:t>All supporting documentation</w:t>
      </w:r>
      <w:r w:rsidR="00885AC7" w:rsidRPr="00885AC7">
        <w:rPr>
          <w:rFonts w:asciiTheme="majorHAnsi" w:eastAsia="Calibri" w:hAnsiTheme="majorHAnsi" w:cstheme="majorHAnsi"/>
        </w:rPr>
        <w:t xml:space="preserve"> used to determine eligibility.</w:t>
      </w:r>
    </w:p>
    <w:p w14:paraId="00000030" w14:textId="77777777" w:rsidR="00750BB8" w:rsidRPr="00885AC7" w:rsidRDefault="00885AC7" w:rsidP="00D85C51">
      <w:pPr>
        <w:numPr>
          <w:ilvl w:val="3"/>
          <w:numId w:val="1"/>
        </w:numPr>
        <w:jc w:val="both"/>
        <w:rPr>
          <w:rFonts w:asciiTheme="majorHAnsi" w:eastAsia="Calibri" w:hAnsiTheme="majorHAnsi" w:cstheme="majorHAnsi"/>
        </w:rPr>
      </w:pPr>
      <w:r w:rsidRPr="00885AC7">
        <w:rPr>
          <w:rFonts w:asciiTheme="majorHAnsi" w:eastAsia="Calibri" w:hAnsiTheme="majorHAnsi" w:cstheme="majorHAnsi"/>
        </w:rPr>
        <w:t>Social Security number for all eligible family members.</w:t>
      </w:r>
    </w:p>
    <w:p w14:paraId="00000031" w14:textId="77777777" w:rsidR="00750BB8" w:rsidRPr="00885AC7" w:rsidRDefault="00885AC7" w:rsidP="00D85C51">
      <w:pPr>
        <w:numPr>
          <w:ilvl w:val="3"/>
          <w:numId w:val="1"/>
        </w:numPr>
        <w:jc w:val="both"/>
        <w:rPr>
          <w:rFonts w:asciiTheme="majorHAnsi" w:eastAsia="Calibri" w:hAnsiTheme="majorHAnsi" w:cstheme="majorHAnsi"/>
        </w:rPr>
      </w:pPr>
      <w:r w:rsidRPr="00885AC7">
        <w:rPr>
          <w:rFonts w:asciiTheme="majorHAnsi" w:eastAsia="Calibri" w:hAnsiTheme="majorHAnsi" w:cstheme="majorHAnsi"/>
        </w:rPr>
        <w:t>Picture ID of at least one household member over age 18.</w:t>
      </w:r>
    </w:p>
    <w:p w14:paraId="00000032" w14:textId="77777777" w:rsidR="00750BB8" w:rsidRPr="00885AC7" w:rsidRDefault="00885AC7" w:rsidP="00D85C51">
      <w:pPr>
        <w:numPr>
          <w:ilvl w:val="2"/>
          <w:numId w:val="1"/>
        </w:numPr>
        <w:jc w:val="both"/>
        <w:rPr>
          <w:rFonts w:asciiTheme="majorHAnsi" w:eastAsia="Calibri" w:hAnsiTheme="majorHAnsi" w:cstheme="majorHAnsi"/>
        </w:rPr>
      </w:pPr>
      <w:r w:rsidRPr="00885AC7">
        <w:rPr>
          <w:rFonts w:asciiTheme="majorHAnsi" w:eastAsia="Calibri" w:hAnsiTheme="majorHAnsi" w:cstheme="majorHAnsi"/>
        </w:rPr>
        <w:t xml:space="preserve">The Grantee shall have access to the DWS </w:t>
      </w:r>
      <w:proofErr w:type="spellStart"/>
      <w:r w:rsidRPr="00885AC7">
        <w:rPr>
          <w:rFonts w:asciiTheme="majorHAnsi" w:eastAsia="Calibri" w:hAnsiTheme="majorHAnsi" w:cstheme="majorHAnsi"/>
        </w:rPr>
        <w:t>eShare</w:t>
      </w:r>
      <w:proofErr w:type="spellEnd"/>
      <w:r w:rsidRPr="00885AC7">
        <w:rPr>
          <w:rFonts w:asciiTheme="majorHAnsi" w:eastAsia="Calibri" w:hAnsiTheme="majorHAnsi" w:cstheme="majorHAnsi"/>
        </w:rPr>
        <w:t xml:space="preserve"> system to assist in determining program eligibility. Grantee shall comply with the provisions set forth in Attachment H - </w:t>
      </w:r>
      <w:proofErr w:type="spellStart"/>
      <w:r w:rsidRPr="00885AC7">
        <w:rPr>
          <w:rFonts w:asciiTheme="majorHAnsi" w:eastAsia="Calibri" w:hAnsiTheme="majorHAnsi" w:cstheme="majorHAnsi"/>
        </w:rPr>
        <w:t>eShare</w:t>
      </w:r>
      <w:proofErr w:type="spellEnd"/>
      <w:r w:rsidRPr="00885AC7">
        <w:rPr>
          <w:rFonts w:asciiTheme="majorHAnsi" w:eastAsia="Calibri" w:hAnsiTheme="majorHAnsi" w:cstheme="majorHAnsi"/>
        </w:rPr>
        <w:t xml:space="preserve"> System Use Agreement.</w:t>
      </w:r>
    </w:p>
    <w:p w14:paraId="00000033" w14:textId="77777777" w:rsidR="00750BB8" w:rsidRPr="00885AC7" w:rsidRDefault="00885AC7" w:rsidP="00D85C51">
      <w:pPr>
        <w:numPr>
          <w:ilvl w:val="0"/>
          <w:numId w:val="1"/>
        </w:numPr>
        <w:spacing w:before="120"/>
        <w:jc w:val="both"/>
        <w:rPr>
          <w:rFonts w:asciiTheme="majorHAnsi" w:eastAsia="Calibri" w:hAnsiTheme="majorHAnsi" w:cstheme="majorHAnsi"/>
        </w:rPr>
      </w:pPr>
      <w:r w:rsidRPr="00885AC7">
        <w:rPr>
          <w:rFonts w:asciiTheme="majorHAnsi" w:eastAsia="Calibri" w:hAnsiTheme="majorHAnsi" w:cstheme="majorHAnsi"/>
          <w:b/>
        </w:rPr>
        <w:t>Data Sharing</w:t>
      </w:r>
    </w:p>
    <w:p w14:paraId="00000034" w14:textId="670ABA63" w:rsidR="00750BB8" w:rsidRPr="00885AC7" w:rsidRDefault="00885AC7" w:rsidP="00D85C51">
      <w:pPr>
        <w:numPr>
          <w:ilvl w:val="0"/>
          <w:numId w:val="3"/>
        </w:numPr>
        <w:ind w:left="1260"/>
        <w:jc w:val="both"/>
        <w:rPr>
          <w:rFonts w:asciiTheme="majorHAnsi" w:eastAsia="Calibri" w:hAnsiTheme="majorHAnsi" w:cstheme="majorHAnsi"/>
          <w:b/>
        </w:rPr>
      </w:pPr>
      <w:r w:rsidRPr="00885AC7">
        <w:rPr>
          <w:rFonts w:asciiTheme="majorHAnsi" w:eastAsia="Calibri" w:hAnsiTheme="majorHAnsi" w:cstheme="majorHAnsi"/>
          <w:b/>
        </w:rPr>
        <w:t>DWS has agreed to provide employment wage data for ICAN participants to assist in the evaluation of program effectiveness and accuracy of outcome</w:t>
      </w:r>
      <w:r w:rsidR="00D45A29">
        <w:rPr>
          <w:rFonts w:asciiTheme="majorHAnsi" w:eastAsia="Calibri" w:hAnsiTheme="majorHAnsi" w:cstheme="majorHAnsi"/>
          <w:b/>
        </w:rPr>
        <w:t>s</w:t>
      </w:r>
      <w:r w:rsidRPr="00885AC7">
        <w:rPr>
          <w:rFonts w:asciiTheme="majorHAnsi" w:eastAsia="Calibri" w:hAnsiTheme="majorHAnsi" w:cstheme="majorHAnsi"/>
          <w:b/>
        </w:rPr>
        <w:t xml:space="preserve"> reporting. </w:t>
      </w:r>
    </w:p>
    <w:p w14:paraId="00000035" w14:textId="77777777" w:rsidR="00750BB8" w:rsidRPr="00885AC7" w:rsidRDefault="00885AC7" w:rsidP="00D85C51">
      <w:pPr>
        <w:numPr>
          <w:ilvl w:val="1"/>
          <w:numId w:val="3"/>
        </w:numPr>
        <w:ind w:left="1800"/>
        <w:jc w:val="both"/>
        <w:rPr>
          <w:rFonts w:asciiTheme="majorHAnsi" w:eastAsia="Calibri" w:hAnsiTheme="majorHAnsi" w:cstheme="majorHAnsi"/>
        </w:rPr>
      </w:pPr>
      <w:r w:rsidRPr="00885AC7">
        <w:rPr>
          <w:rFonts w:asciiTheme="majorHAnsi" w:eastAsia="Calibri" w:hAnsiTheme="majorHAnsi" w:cstheme="majorHAnsi"/>
        </w:rPr>
        <w:t xml:space="preserve">Grantee will be required to request data through </w:t>
      </w:r>
      <w:proofErr w:type="spellStart"/>
      <w:r w:rsidRPr="00885AC7">
        <w:rPr>
          <w:rFonts w:asciiTheme="majorHAnsi" w:eastAsia="Calibri" w:hAnsiTheme="majorHAnsi" w:cstheme="majorHAnsi"/>
        </w:rPr>
        <w:t>MoveIt</w:t>
      </w:r>
      <w:proofErr w:type="spellEnd"/>
      <w:r w:rsidRPr="00885AC7">
        <w:rPr>
          <w:rFonts w:asciiTheme="majorHAnsi" w:eastAsia="Calibri" w:hAnsiTheme="majorHAnsi" w:cstheme="majorHAnsi"/>
        </w:rPr>
        <w:t xml:space="preserve"> for secure encrypted electronic data file transmission.</w:t>
      </w:r>
    </w:p>
    <w:p w14:paraId="380B6964" w14:textId="2EE7397F" w:rsidR="00885AC7" w:rsidRDefault="00885AC7" w:rsidP="00D85C51">
      <w:pPr>
        <w:numPr>
          <w:ilvl w:val="1"/>
          <w:numId w:val="3"/>
        </w:numPr>
        <w:ind w:left="1800"/>
        <w:jc w:val="both"/>
        <w:rPr>
          <w:rFonts w:asciiTheme="majorHAnsi" w:eastAsia="Calibri" w:hAnsiTheme="majorHAnsi" w:cstheme="majorHAnsi"/>
        </w:rPr>
      </w:pPr>
      <w:r w:rsidRPr="00885AC7">
        <w:rPr>
          <w:rFonts w:asciiTheme="majorHAnsi" w:eastAsia="Calibri" w:hAnsiTheme="majorHAnsi" w:cstheme="majorHAnsi"/>
        </w:rPr>
        <w:t xml:space="preserve">Data requests will </w:t>
      </w:r>
      <w:r w:rsidR="00D45A29">
        <w:rPr>
          <w:rFonts w:asciiTheme="majorHAnsi" w:eastAsia="Calibri" w:hAnsiTheme="majorHAnsi" w:cstheme="majorHAnsi"/>
        </w:rPr>
        <w:t xml:space="preserve">be made in writing through </w:t>
      </w:r>
      <w:proofErr w:type="spellStart"/>
      <w:r w:rsidR="00D45A29">
        <w:rPr>
          <w:rFonts w:asciiTheme="majorHAnsi" w:eastAsia="Calibri" w:hAnsiTheme="majorHAnsi" w:cstheme="majorHAnsi"/>
        </w:rPr>
        <w:t>MoveI</w:t>
      </w:r>
      <w:r w:rsidRPr="00885AC7">
        <w:rPr>
          <w:rFonts w:asciiTheme="majorHAnsi" w:eastAsia="Calibri" w:hAnsiTheme="majorHAnsi" w:cstheme="majorHAnsi"/>
        </w:rPr>
        <w:t>t</w:t>
      </w:r>
      <w:proofErr w:type="spellEnd"/>
      <w:r w:rsidRPr="00885AC7">
        <w:rPr>
          <w:rFonts w:asciiTheme="majorHAnsi" w:eastAsia="Calibri" w:hAnsiTheme="majorHAnsi" w:cstheme="majorHAnsi"/>
        </w:rPr>
        <w:t xml:space="preserve"> to corres</w:t>
      </w:r>
      <w:r>
        <w:rPr>
          <w:rFonts w:asciiTheme="majorHAnsi" w:eastAsia="Calibri" w:hAnsiTheme="majorHAnsi" w:cstheme="majorHAnsi"/>
        </w:rPr>
        <w:t>pond with Quarterly and Annual R</w:t>
      </w:r>
      <w:r w:rsidRPr="00885AC7">
        <w:rPr>
          <w:rFonts w:asciiTheme="majorHAnsi" w:eastAsia="Calibri" w:hAnsiTheme="majorHAnsi" w:cstheme="majorHAnsi"/>
        </w:rPr>
        <w:t>eporting. Data will only be provided for participants specifically identified in the request that have been previously reported as ICAN participants.</w:t>
      </w:r>
    </w:p>
    <w:p w14:paraId="00000037" w14:textId="044F08A1" w:rsidR="00750BB8" w:rsidRPr="00885AC7" w:rsidRDefault="00D45A29" w:rsidP="00D85C51">
      <w:pPr>
        <w:numPr>
          <w:ilvl w:val="3"/>
          <w:numId w:val="1"/>
        </w:numPr>
        <w:jc w:val="both"/>
        <w:rPr>
          <w:rFonts w:asciiTheme="majorHAnsi" w:eastAsia="Calibri" w:hAnsiTheme="majorHAnsi" w:cstheme="majorHAnsi"/>
        </w:rPr>
      </w:pPr>
      <w:proofErr w:type="spellStart"/>
      <w:r>
        <w:rPr>
          <w:rFonts w:asciiTheme="majorHAnsi" w:eastAsia="Calibri" w:hAnsiTheme="majorHAnsi" w:cstheme="majorHAnsi"/>
        </w:rPr>
        <w:t>MoveI</w:t>
      </w:r>
      <w:r w:rsidR="00885AC7" w:rsidRPr="00885AC7">
        <w:rPr>
          <w:rFonts w:asciiTheme="majorHAnsi" w:eastAsia="Calibri" w:hAnsiTheme="majorHAnsi" w:cstheme="majorHAnsi"/>
        </w:rPr>
        <w:t>t</w:t>
      </w:r>
      <w:proofErr w:type="spellEnd"/>
      <w:r w:rsidR="00885AC7" w:rsidRPr="00885AC7">
        <w:rPr>
          <w:rFonts w:asciiTheme="majorHAnsi" w:eastAsia="Calibri" w:hAnsiTheme="majorHAnsi" w:cstheme="majorHAnsi"/>
        </w:rPr>
        <w:t xml:space="preserve"> package data requests will include: customer name, case number and signed 115C (see Attachment E).</w:t>
      </w:r>
    </w:p>
    <w:p w14:paraId="00000038" w14:textId="77777777" w:rsidR="00750BB8" w:rsidRPr="00885AC7" w:rsidRDefault="00885AC7" w:rsidP="00D85C51">
      <w:pPr>
        <w:numPr>
          <w:ilvl w:val="1"/>
          <w:numId w:val="3"/>
        </w:numPr>
        <w:ind w:left="1800"/>
        <w:jc w:val="both"/>
        <w:rPr>
          <w:rFonts w:asciiTheme="majorHAnsi" w:eastAsia="Calibri" w:hAnsiTheme="majorHAnsi" w:cstheme="majorHAnsi"/>
        </w:rPr>
      </w:pPr>
      <w:r w:rsidRPr="00885AC7">
        <w:rPr>
          <w:rFonts w:asciiTheme="majorHAnsi" w:eastAsia="Calibri" w:hAnsiTheme="majorHAnsi" w:cstheme="majorHAnsi"/>
        </w:rPr>
        <w:t>Data elements to be provided include participant’s name, employment wages and dates related to earnings.</w:t>
      </w:r>
    </w:p>
    <w:p w14:paraId="00000039" w14:textId="77777777" w:rsidR="00750BB8" w:rsidRPr="00885AC7" w:rsidRDefault="00885AC7" w:rsidP="00D85C51">
      <w:pPr>
        <w:numPr>
          <w:ilvl w:val="1"/>
          <w:numId w:val="3"/>
        </w:numPr>
        <w:ind w:left="1800"/>
        <w:jc w:val="both"/>
        <w:rPr>
          <w:rFonts w:asciiTheme="majorHAnsi" w:eastAsia="Calibri" w:hAnsiTheme="majorHAnsi" w:cstheme="majorHAnsi"/>
        </w:rPr>
      </w:pPr>
      <w:r w:rsidRPr="00885AC7">
        <w:rPr>
          <w:rFonts w:asciiTheme="majorHAnsi" w:eastAsia="Calibri" w:hAnsiTheme="majorHAnsi" w:cstheme="majorHAnsi"/>
        </w:rPr>
        <w:t>Grantee shall comply with the Data Transmission requirements as set forth in Attachment</w:t>
      </w:r>
      <w:r w:rsidRPr="00885AC7">
        <w:rPr>
          <w:rFonts w:asciiTheme="majorHAnsi" w:eastAsia="Calibri" w:hAnsiTheme="majorHAnsi" w:cstheme="majorHAnsi"/>
          <w:b/>
        </w:rPr>
        <w:t xml:space="preserve"> </w:t>
      </w:r>
      <w:r w:rsidRPr="00885AC7">
        <w:rPr>
          <w:rFonts w:asciiTheme="majorHAnsi" w:eastAsia="Calibri" w:hAnsiTheme="majorHAnsi" w:cstheme="majorHAnsi"/>
        </w:rPr>
        <w:t>M - Data Transmission Agreement.</w:t>
      </w:r>
    </w:p>
    <w:p w14:paraId="0000003A" w14:textId="77777777" w:rsidR="00750BB8" w:rsidRPr="00885AC7" w:rsidRDefault="00885AC7" w:rsidP="00D85C51">
      <w:pPr>
        <w:widowControl w:val="0"/>
        <w:numPr>
          <w:ilvl w:val="0"/>
          <w:numId w:val="1"/>
        </w:numPr>
        <w:spacing w:before="200"/>
        <w:jc w:val="both"/>
        <w:rPr>
          <w:rFonts w:asciiTheme="majorHAnsi" w:hAnsiTheme="majorHAnsi" w:cstheme="majorHAnsi"/>
        </w:rPr>
      </w:pPr>
      <w:r w:rsidRPr="00885AC7">
        <w:rPr>
          <w:rFonts w:asciiTheme="majorHAnsi" w:eastAsia="Calibri" w:hAnsiTheme="majorHAnsi" w:cstheme="majorHAnsi"/>
          <w:b/>
        </w:rPr>
        <w:t>Expected Outcomes</w:t>
      </w:r>
    </w:p>
    <w:p w14:paraId="0000003B" w14:textId="77777777" w:rsidR="00750BB8" w:rsidRPr="00885AC7" w:rsidRDefault="00885AC7" w:rsidP="00D85C51">
      <w:pPr>
        <w:numPr>
          <w:ilvl w:val="1"/>
          <w:numId w:val="1"/>
        </w:numPr>
        <w:jc w:val="both"/>
        <w:rPr>
          <w:rFonts w:asciiTheme="majorHAnsi" w:hAnsiTheme="majorHAnsi" w:cstheme="majorHAnsi"/>
        </w:rPr>
      </w:pPr>
      <w:r w:rsidRPr="00885AC7">
        <w:rPr>
          <w:rFonts w:asciiTheme="majorHAnsi" w:eastAsia="Calibri" w:hAnsiTheme="majorHAnsi" w:cstheme="majorHAnsi"/>
        </w:rPr>
        <w:t>Provide an integrated system of support and serve at a minimum 500 TANF eligible participants experiencing IGP for the 3 years of this contract.</w:t>
      </w:r>
    </w:p>
    <w:p w14:paraId="0000003C" w14:textId="77777777" w:rsidR="00750BB8" w:rsidRPr="00885AC7" w:rsidRDefault="00885AC7" w:rsidP="00D85C51">
      <w:pPr>
        <w:numPr>
          <w:ilvl w:val="1"/>
          <w:numId w:val="1"/>
        </w:numPr>
        <w:jc w:val="both"/>
        <w:rPr>
          <w:rFonts w:asciiTheme="majorHAnsi" w:hAnsiTheme="majorHAnsi" w:cstheme="majorHAnsi"/>
        </w:rPr>
      </w:pPr>
      <w:r w:rsidRPr="00885AC7">
        <w:rPr>
          <w:rFonts w:asciiTheme="majorHAnsi" w:eastAsia="Calibri" w:hAnsiTheme="majorHAnsi" w:cstheme="majorHAnsi"/>
        </w:rPr>
        <w:t>Increase the annual income of 25% of participating families to above the current Federal Poverty Limit.</w:t>
      </w:r>
    </w:p>
    <w:p w14:paraId="0000003D" w14:textId="77777777" w:rsidR="00750BB8" w:rsidRPr="00885AC7" w:rsidRDefault="00885AC7" w:rsidP="00D85C51">
      <w:pPr>
        <w:numPr>
          <w:ilvl w:val="1"/>
          <w:numId w:val="1"/>
        </w:numPr>
        <w:jc w:val="both"/>
        <w:rPr>
          <w:rFonts w:asciiTheme="majorHAnsi" w:hAnsiTheme="majorHAnsi" w:cstheme="majorHAnsi"/>
        </w:rPr>
      </w:pPr>
      <w:r w:rsidRPr="00885AC7">
        <w:rPr>
          <w:rFonts w:asciiTheme="majorHAnsi" w:eastAsia="Calibri" w:hAnsiTheme="majorHAnsi" w:cstheme="majorHAnsi"/>
        </w:rPr>
        <w:t>Increase family resilience by 30% for all families participating in ICAN.</w:t>
      </w:r>
    </w:p>
    <w:p w14:paraId="0000003E" w14:textId="77777777" w:rsidR="00750BB8" w:rsidRPr="00885AC7" w:rsidRDefault="00885AC7" w:rsidP="00D85C51">
      <w:pPr>
        <w:numPr>
          <w:ilvl w:val="1"/>
          <w:numId w:val="1"/>
        </w:numPr>
        <w:jc w:val="both"/>
        <w:rPr>
          <w:rFonts w:asciiTheme="majorHAnsi" w:hAnsiTheme="majorHAnsi" w:cstheme="majorHAnsi"/>
          <w:color w:val="2F2F2F"/>
        </w:rPr>
      </w:pPr>
      <w:r w:rsidRPr="00885AC7">
        <w:rPr>
          <w:rFonts w:asciiTheme="majorHAnsi" w:eastAsia="Calibri" w:hAnsiTheme="majorHAnsi" w:cstheme="majorHAnsi"/>
        </w:rPr>
        <w:t>Grantee may choose to report on additional outcomes and indicators as identified by the Weber County program.</w:t>
      </w:r>
      <w:r w:rsidRPr="00885AC7">
        <w:rPr>
          <w:rFonts w:asciiTheme="majorHAnsi" w:eastAsia="Calibri" w:hAnsiTheme="majorHAnsi" w:cstheme="majorHAnsi"/>
          <w:color w:val="2F2F2F"/>
        </w:rPr>
        <w:t xml:space="preserve">   </w:t>
      </w:r>
    </w:p>
    <w:p w14:paraId="0000003F" w14:textId="77777777" w:rsidR="00750BB8" w:rsidRPr="00885AC7" w:rsidRDefault="00885AC7" w:rsidP="00D85C51">
      <w:pPr>
        <w:numPr>
          <w:ilvl w:val="0"/>
          <w:numId w:val="1"/>
        </w:numPr>
        <w:spacing w:before="200"/>
        <w:jc w:val="both"/>
        <w:rPr>
          <w:rFonts w:asciiTheme="majorHAnsi" w:eastAsia="Calibri" w:hAnsiTheme="majorHAnsi" w:cstheme="majorHAnsi"/>
        </w:rPr>
      </w:pPr>
      <w:r w:rsidRPr="00885AC7">
        <w:rPr>
          <w:rFonts w:asciiTheme="majorHAnsi" w:eastAsia="Calibri" w:hAnsiTheme="majorHAnsi" w:cstheme="majorHAnsi"/>
          <w:b/>
        </w:rPr>
        <w:t>Reporting</w:t>
      </w:r>
    </w:p>
    <w:p w14:paraId="00000040" w14:textId="77777777" w:rsidR="00750BB8" w:rsidRPr="00885AC7" w:rsidRDefault="00885AC7" w:rsidP="00D85C51">
      <w:pPr>
        <w:numPr>
          <w:ilvl w:val="1"/>
          <w:numId w:val="1"/>
        </w:numPr>
        <w:jc w:val="both"/>
        <w:rPr>
          <w:rFonts w:asciiTheme="majorHAnsi" w:hAnsiTheme="majorHAnsi" w:cstheme="majorHAnsi"/>
        </w:rPr>
      </w:pPr>
      <w:r w:rsidRPr="00885AC7">
        <w:rPr>
          <w:rFonts w:asciiTheme="majorHAnsi" w:eastAsia="Calibri" w:hAnsiTheme="majorHAnsi" w:cstheme="majorHAnsi"/>
        </w:rPr>
        <w:t xml:space="preserve">Quarterly reports must be submitted using the DWS provided template.  Reports will be due at the end of the month following each quarter. </w:t>
      </w:r>
    </w:p>
    <w:p w14:paraId="00000041" w14:textId="77777777" w:rsidR="00750BB8" w:rsidRPr="00885AC7" w:rsidRDefault="00885AC7" w:rsidP="00D85C51">
      <w:pPr>
        <w:numPr>
          <w:ilvl w:val="2"/>
          <w:numId w:val="1"/>
        </w:numPr>
        <w:jc w:val="both"/>
        <w:rPr>
          <w:rFonts w:asciiTheme="majorHAnsi" w:eastAsia="Calibri" w:hAnsiTheme="majorHAnsi" w:cstheme="majorHAnsi"/>
        </w:rPr>
      </w:pPr>
      <w:r w:rsidRPr="00885AC7">
        <w:rPr>
          <w:rFonts w:asciiTheme="majorHAnsi" w:eastAsia="Calibri" w:hAnsiTheme="majorHAnsi" w:cstheme="majorHAnsi"/>
        </w:rPr>
        <w:t>Quarter 1: July 1 - September 30, report due October 31</w:t>
      </w:r>
    </w:p>
    <w:p w14:paraId="00000042" w14:textId="77777777" w:rsidR="00750BB8" w:rsidRPr="00885AC7" w:rsidRDefault="00885AC7" w:rsidP="00D85C51">
      <w:pPr>
        <w:numPr>
          <w:ilvl w:val="2"/>
          <w:numId w:val="1"/>
        </w:numPr>
        <w:jc w:val="both"/>
        <w:rPr>
          <w:rFonts w:asciiTheme="majorHAnsi" w:eastAsia="Calibri" w:hAnsiTheme="majorHAnsi" w:cstheme="majorHAnsi"/>
        </w:rPr>
      </w:pPr>
      <w:r w:rsidRPr="00885AC7">
        <w:rPr>
          <w:rFonts w:asciiTheme="majorHAnsi" w:eastAsia="Calibri" w:hAnsiTheme="majorHAnsi" w:cstheme="majorHAnsi"/>
        </w:rPr>
        <w:t>Quarter 2: October 1 - December 31, report due January 31</w:t>
      </w:r>
    </w:p>
    <w:p w14:paraId="00000043" w14:textId="77777777" w:rsidR="00750BB8" w:rsidRPr="00885AC7" w:rsidRDefault="00885AC7" w:rsidP="00D85C51">
      <w:pPr>
        <w:numPr>
          <w:ilvl w:val="2"/>
          <w:numId w:val="1"/>
        </w:numPr>
        <w:jc w:val="both"/>
        <w:rPr>
          <w:rFonts w:asciiTheme="majorHAnsi" w:eastAsia="Calibri" w:hAnsiTheme="majorHAnsi" w:cstheme="majorHAnsi"/>
        </w:rPr>
      </w:pPr>
      <w:r w:rsidRPr="00885AC7">
        <w:rPr>
          <w:rFonts w:asciiTheme="majorHAnsi" w:eastAsia="Calibri" w:hAnsiTheme="majorHAnsi" w:cstheme="majorHAnsi"/>
        </w:rPr>
        <w:t>Quarter 3: January 1 - March 31, report due April 30</w:t>
      </w:r>
    </w:p>
    <w:p w14:paraId="00000044" w14:textId="77777777" w:rsidR="00750BB8" w:rsidRPr="00885AC7" w:rsidRDefault="00885AC7" w:rsidP="00D85C51">
      <w:pPr>
        <w:numPr>
          <w:ilvl w:val="2"/>
          <w:numId w:val="1"/>
        </w:numPr>
        <w:jc w:val="both"/>
        <w:rPr>
          <w:rFonts w:asciiTheme="majorHAnsi" w:eastAsia="Calibri" w:hAnsiTheme="majorHAnsi" w:cstheme="majorHAnsi"/>
        </w:rPr>
      </w:pPr>
      <w:r w:rsidRPr="00885AC7">
        <w:rPr>
          <w:rFonts w:asciiTheme="majorHAnsi" w:eastAsia="Calibri" w:hAnsiTheme="majorHAnsi" w:cstheme="majorHAnsi"/>
        </w:rPr>
        <w:t>Quarter 4: April 1 - June 30, report due July 15</w:t>
      </w:r>
    </w:p>
    <w:p w14:paraId="00000045" w14:textId="5F2CCF65" w:rsidR="00750BB8" w:rsidRPr="00885AC7" w:rsidRDefault="00885AC7" w:rsidP="00D85C51">
      <w:pPr>
        <w:numPr>
          <w:ilvl w:val="2"/>
          <w:numId w:val="1"/>
        </w:numPr>
        <w:jc w:val="both"/>
        <w:rPr>
          <w:rFonts w:asciiTheme="majorHAnsi" w:eastAsia="Calibri" w:hAnsiTheme="majorHAnsi" w:cstheme="majorHAnsi"/>
        </w:rPr>
      </w:pPr>
      <w:r w:rsidRPr="00885AC7">
        <w:rPr>
          <w:rFonts w:asciiTheme="majorHAnsi" w:eastAsia="Calibri" w:hAnsiTheme="majorHAnsi" w:cstheme="majorHAnsi"/>
        </w:rPr>
        <w:t>An annual report must be submitted by July 15 of each contract year using the DWS provided template.</w:t>
      </w:r>
    </w:p>
    <w:p w14:paraId="00000046" w14:textId="77777777" w:rsidR="00750BB8" w:rsidRPr="00885AC7" w:rsidRDefault="00885AC7" w:rsidP="00D85C51">
      <w:pPr>
        <w:numPr>
          <w:ilvl w:val="0"/>
          <w:numId w:val="1"/>
        </w:numPr>
        <w:spacing w:before="200"/>
        <w:jc w:val="both"/>
        <w:rPr>
          <w:rFonts w:asciiTheme="majorHAnsi" w:eastAsia="Calibri" w:hAnsiTheme="majorHAnsi" w:cstheme="majorHAnsi"/>
        </w:rPr>
      </w:pPr>
      <w:r w:rsidRPr="00885AC7">
        <w:rPr>
          <w:rFonts w:asciiTheme="majorHAnsi" w:eastAsia="Calibri" w:hAnsiTheme="majorHAnsi" w:cstheme="majorHAnsi"/>
          <w:b/>
        </w:rPr>
        <w:t>Monitoring</w:t>
      </w:r>
    </w:p>
    <w:p w14:paraId="00000047" w14:textId="77777777" w:rsidR="00750BB8" w:rsidRPr="00885AC7" w:rsidRDefault="00885AC7" w:rsidP="00D85C51">
      <w:pPr>
        <w:numPr>
          <w:ilvl w:val="1"/>
          <w:numId w:val="1"/>
        </w:numPr>
        <w:jc w:val="both"/>
        <w:rPr>
          <w:rFonts w:asciiTheme="majorHAnsi" w:hAnsiTheme="majorHAnsi" w:cstheme="majorHAnsi"/>
        </w:rPr>
      </w:pPr>
      <w:r w:rsidRPr="00885AC7">
        <w:rPr>
          <w:rFonts w:asciiTheme="majorHAnsi" w:eastAsia="Calibri" w:hAnsiTheme="majorHAnsi" w:cstheme="majorHAnsi"/>
        </w:rPr>
        <w:lastRenderedPageBreak/>
        <w:t>Monitoring will be completed by DWS to ensure funds are used for authorized purposes and contract compliance.</w:t>
      </w:r>
    </w:p>
    <w:p w14:paraId="00000048" w14:textId="77777777" w:rsidR="00750BB8" w:rsidRPr="00885AC7" w:rsidRDefault="00885AC7" w:rsidP="00D85C51">
      <w:pPr>
        <w:numPr>
          <w:ilvl w:val="1"/>
          <w:numId w:val="1"/>
        </w:numPr>
        <w:jc w:val="both"/>
        <w:rPr>
          <w:rFonts w:asciiTheme="majorHAnsi" w:hAnsiTheme="majorHAnsi" w:cstheme="majorHAnsi"/>
        </w:rPr>
      </w:pPr>
      <w:r w:rsidRPr="00885AC7">
        <w:rPr>
          <w:rFonts w:asciiTheme="majorHAnsi" w:eastAsia="Calibri" w:hAnsiTheme="majorHAnsi" w:cstheme="majorHAnsi"/>
        </w:rPr>
        <w:t>Monitoring may include, but is not limited to, site visits, technical assistance, desk reviews, expenditure document review, or monitoring by a third party.</w:t>
      </w:r>
    </w:p>
    <w:p w14:paraId="00000049" w14:textId="77777777" w:rsidR="00750BB8" w:rsidRPr="00885AC7" w:rsidRDefault="00885AC7" w:rsidP="00D85C51">
      <w:pPr>
        <w:numPr>
          <w:ilvl w:val="0"/>
          <w:numId w:val="1"/>
        </w:numPr>
        <w:spacing w:before="200"/>
        <w:jc w:val="both"/>
        <w:rPr>
          <w:rFonts w:asciiTheme="majorHAnsi" w:eastAsia="Calibri" w:hAnsiTheme="majorHAnsi" w:cstheme="majorHAnsi"/>
        </w:rPr>
      </w:pPr>
      <w:r w:rsidRPr="00885AC7">
        <w:rPr>
          <w:rFonts w:asciiTheme="majorHAnsi" w:eastAsia="Calibri" w:hAnsiTheme="majorHAnsi" w:cstheme="majorHAnsi"/>
          <w:b/>
        </w:rPr>
        <w:t>Budget</w:t>
      </w:r>
    </w:p>
    <w:p w14:paraId="0000004A" w14:textId="77777777" w:rsidR="00750BB8" w:rsidRPr="00885AC7" w:rsidRDefault="00885AC7" w:rsidP="00D85C51">
      <w:pPr>
        <w:numPr>
          <w:ilvl w:val="1"/>
          <w:numId w:val="1"/>
        </w:numPr>
        <w:jc w:val="both"/>
        <w:rPr>
          <w:rFonts w:asciiTheme="majorHAnsi" w:hAnsiTheme="majorHAnsi" w:cstheme="majorHAnsi"/>
        </w:rPr>
      </w:pPr>
      <w:r w:rsidRPr="00885AC7">
        <w:rPr>
          <w:rFonts w:asciiTheme="majorHAnsi" w:eastAsia="Calibri" w:hAnsiTheme="majorHAnsi" w:cstheme="majorHAnsi"/>
        </w:rPr>
        <w:t>Total indirect and direct administrative costs must not exceed 15% of the total grant costs.</w:t>
      </w:r>
    </w:p>
    <w:p w14:paraId="0000004B" w14:textId="77777777" w:rsidR="00750BB8" w:rsidRPr="00885AC7" w:rsidRDefault="00885AC7" w:rsidP="00D85C51">
      <w:pPr>
        <w:numPr>
          <w:ilvl w:val="1"/>
          <w:numId w:val="1"/>
        </w:numPr>
        <w:jc w:val="both"/>
        <w:rPr>
          <w:rFonts w:asciiTheme="majorHAnsi" w:hAnsiTheme="majorHAnsi" w:cstheme="majorHAnsi"/>
        </w:rPr>
      </w:pPr>
      <w:r w:rsidRPr="00885AC7">
        <w:rPr>
          <w:rFonts w:asciiTheme="majorHAnsi" w:eastAsia="Calibri" w:hAnsiTheme="majorHAnsi" w:cstheme="majorHAnsi"/>
        </w:rPr>
        <w:t>Grantee shall submit requests for reimbursement of expenses using the DWS reimbursement billing template no less than quarterly.  The final billing must be received no later than July 15 of each year of the 3-year contract.</w:t>
      </w:r>
    </w:p>
    <w:p w14:paraId="0000004C" w14:textId="77777777" w:rsidR="00750BB8" w:rsidRPr="00885AC7" w:rsidRDefault="00885AC7" w:rsidP="00D85C51">
      <w:pPr>
        <w:numPr>
          <w:ilvl w:val="1"/>
          <w:numId w:val="1"/>
        </w:numPr>
        <w:jc w:val="both"/>
        <w:rPr>
          <w:rFonts w:asciiTheme="majorHAnsi" w:hAnsiTheme="majorHAnsi" w:cstheme="majorHAnsi"/>
        </w:rPr>
      </w:pPr>
      <w:r w:rsidRPr="00885AC7">
        <w:rPr>
          <w:rFonts w:asciiTheme="majorHAnsi" w:eastAsia="Calibri" w:hAnsiTheme="majorHAnsi" w:cstheme="majorHAnsi"/>
        </w:rPr>
        <w:t>Processing times for payments are determined by accuracy of invoices and approval by the DWS Finance Division.</w:t>
      </w:r>
    </w:p>
    <w:p w14:paraId="0000004D" w14:textId="77777777" w:rsidR="00750BB8" w:rsidRPr="00885AC7" w:rsidRDefault="00885AC7" w:rsidP="00D85C51">
      <w:pPr>
        <w:numPr>
          <w:ilvl w:val="1"/>
          <w:numId w:val="1"/>
        </w:numPr>
        <w:jc w:val="both"/>
        <w:rPr>
          <w:rFonts w:asciiTheme="majorHAnsi" w:hAnsiTheme="majorHAnsi" w:cstheme="majorHAnsi"/>
        </w:rPr>
      </w:pPr>
      <w:r w:rsidRPr="00885AC7">
        <w:rPr>
          <w:rFonts w:asciiTheme="majorHAnsi" w:eastAsia="Calibri" w:hAnsiTheme="majorHAnsi" w:cstheme="majorHAnsi"/>
        </w:rPr>
        <w:t xml:space="preserve">Allowable costs for this grant are specified in </w:t>
      </w:r>
      <w:r w:rsidRPr="00885AC7">
        <w:rPr>
          <w:rFonts w:asciiTheme="majorHAnsi" w:eastAsia="Calibri" w:hAnsiTheme="majorHAnsi" w:cstheme="majorHAnsi"/>
          <w:i/>
        </w:rPr>
        <w:t>Attachment E: Appropriate Uses of TANF Funds.</w:t>
      </w:r>
    </w:p>
    <w:p w14:paraId="0000004E" w14:textId="77777777" w:rsidR="00750BB8" w:rsidRPr="00885AC7" w:rsidRDefault="00885AC7" w:rsidP="00D85C51">
      <w:pPr>
        <w:numPr>
          <w:ilvl w:val="1"/>
          <w:numId w:val="1"/>
        </w:numPr>
        <w:jc w:val="both"/>
        <w:rPr>
          <w:rFonts w:asciiTheme="majorHAnsi" w:hAnsiTheme="majorHAnsi" w:cstheme="majorHAnsi"/>
        </w:rPr>
      </w:pPr>
      <w:r w:rsidRPr="00885AC7">
        <w:rPr>
          <w:rFonts w:asciiTheme="majorHAnsi" w:eastAsia="Calibri" w:hAnsiTheme="majorHAnsi" w:cstheme="majorHAnsi"/>
        </w:rPr>
        <w:t>Budget change requests must occur prior to the purchase, including item description, desired fiscal change and rationale for the change. DWS approval is required in writing for the budget change to be valid.</w:t>
      </w:r>
    </w:p>
    <w:p w14:paraId="0000004F" w14:textId="77777777" w:rsidR="00750BB8" w:rsidRPr="00885AC7" w:rsidRDefault="00885AC7" w:rsidP="00D85C51">
      <w:pPr>
        <w:numPr>
          <w:ilvl w:val="1"/>
          <w:numId w:val="1"/>
        </w:numPr>
        <w:jc w:val="both"/>
        <w:rPr>
          <w:rFonts w:asciiTheme="majorHAnsi" w:hAnsiTheme="majorHAnsi" w:cstheme="majorHAnsi"/>
        </w:rPr>
      </w:pPr>
      <w:r w:rsidRPr="00885AC7">
        <w:rPr>
          <w:rFonts w:asciiTheme="majorHAnsi" w:eastAsia="Calibri" w:hAnsiTheme="majorHAnsi" w:cstheme="majorHAnsi"/>
        </w:rPr>
        <w:t>Budget changes shall not be made during the last 30 days of the contract year.</w:t>
      </w:r>
    </w:p>
    <w:p w14:paraId="00000050" w14:textId="77777777" w:rsidR="00750BB8" w:rsidRPr="00885AC7" w:rsidRDefault="00885AC7" w:rsidP="00D85C51">
      <w:pPr>
        <w:numPr>
          <w:ilvl w:val="0"/>
          <w:numId w:val="1"/>
        </w:numPr>
        <w:spacing w:before="200"/>
        <w:jc w:val="both"/>
        <w:rPr>
          <w:rFonts w:asciiTheme="majorHAnsi" w:eastAsia="Calibri" w:hAnsiTheme="majorHAnsi" w:cstheme="majorHAnsi"/>
        </w:rPr>
      </w:pPr>
      <w:r w:rsidRPr="00885AC7">
        <w:rPr>
          <w:rFonts w:asciiTheme="majorHAnsi" w:eastAsia="Calibri" w:hAnsiTheme="majorHAnsi" w:cstheme="majorHAnsi"/>
          <w:b/>
        </w:rPr>
        <w:t>Grant Orientation Meeting</w:t>
      </w:r>
    </w:p>
    <w:p w14:paraId="00000051" w14:textId="77777777" w:rsidR="00750BB8" w:rsidRPr="00885AC7" w:rsidRDefault="00885AC7" w:rsidP="00D85C51">
      <w:pPr>
        <w:numPr>
          <w:ilvl w:val="1"/>
          <w:numId w:val="1"/>
        </w:numPr>
        <w:jc w:val="both"/>
        <w:rPr>
          <w:rFonts w:asciiTheme="majorHAnsi" w:hAnsiTheme="majorHAnsi" w:cstheme="majorHAnsi"/>
        </w:rPr>
      </w:pPr>
      <w:r w:rsidRPr="00885AC7">
        <w:rPr>
          <w:rFonts w:asciiTheme="majorHAnsi" w:eastAsia="Calibri" w:hAnsiTheme="majorHAnsi" w:cstheme="majorHAnsi"/>
        </w:rPr>
        <w:t>A mandatory grant orientation to include the Grant Terms and Conditions as well as monitoring processes will be scheduled upon grant award. Required attendees include the program administrator and other pertinent personnel.</w:t>
      </w:r>
    </w:p>
    <w:p w14:paraId="00000052" w14:textId="77777777" w:rsidR="00750BB8" w:rsidRPr="00885AC7" w:rsidRDefault="00750BB8" w:rsidP="00D85C51">
      <w:pPr>
        <w:jc w:val="both"/>
        <w:rPr>
          <w:rFonts w:asciiTheme="majorHAnsi" w:hAnsiTheme="majorHAnsi" w:cstheme="majorHAnsi"/>
        </w:rPr>
      </w:pPr>
    </w:p>
    <w:sectPr w:rsidR="00750BB8" w:rsidRPr="00885AC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33857"/>
    <w:multiLevelType w:val="multilevel"/>
    <w:tmpl w:val="4AFABEF4"/>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1" w15:restartNumberingAfterBreak="0">
    <w:nsid w:val="14872360"/>
    <w:multiLevelType w:val="multilevel"/>
    <w:tmpl w:val="A8C624F2"/>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Letter"/>
      <w:lvlText w:val="%3)"/>
      <w:lvlJc w:val="left"/>
      <w:pPr>
        <w:ind w:left="2790" w:hanging="360"/>
      </w:pPr>
      <w:rPr>
        <w:highlight w:val="yellow"/>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A3F3CD3"/>
    <w:multiLevelType w:val="multilevel"/>
    <w:tmpl w:val="6694C44A"/>
    <w:lvl w:ilvl="0">
      <w:start w:val="1"/>
      <w:numFmt w:val="upperRoman"/>
      <w:lvlText w:val="%1."/>
      <w:lvlJc w:val="right"/>
      <w:pPr>
        <w:ind w:left="720" w:hanging="360"/>
      </w:pPr>
      <w:rPr>
        <w:rFonts w:asciiTheme="majorHAnsi" w:eastAsia="Arial" w:hAnsiTheme="majorHAnsi" w:cstheme="majorHAnsi" w:hint="default"/>
        <w:b/>
        <w:sz w:val="22"/>
        <w:szCs w:val="22"/>
        <w:u w:val="none"/>
      </w:rPr>
    </w:lvl>
    <w:lvl w:ilvl="1">
      <w:start w:val="1"/>
      <w:numFmt w:val="upperLetter"/>
      <w:lvlText w:val="%2."/>
      <w:lvlJc w:val="left"/>
      <w:pPr>
        <w:ind w:left="1260" w:hanging="360"/>
      </w:pPr>
      <w:rPr>
        <w:rFonts w:ascii="Calibri" w:eastAsia="Calibri" w:hAnsi="Calibri" w:cs="Calibri"/>
        <w:b/>
        <w:sz w:val="22"/>
        <w:szCs w:val="22"/>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highlight w:val="white"/>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BB8"/>
    <w:rsid w:val="00471786"/>
    <w:rsid w:val="00750BB8"/>
    <w:rsid w:val="00885AC7"/>
    <w:rsid w:val="00D45A29"/>
    <w:rsid w:val="00D85C51"/>
    <w:rsid w:val="00FC5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096FF"/>
  <w15:docId w15:val="{D9BB0EDC-8017-4530-86ED-AFB1A673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FC514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1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obs.utah.gov/services/tevs/tanfcontrac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Freigang, Melissa</dc:creator>
  <cp:lastModifiedBy>Halacy, Shelly</cp:lastModifiedBy>
  <cp:revision>2</cp:revision>
  <cp:lastPrinted>2022-08-05T17:25:00Z</cp:lastPrinted>
  <dcterms:created xsi:type="dcterms:W3CDTF">2022-08-05T17:26:00Z</dcterms:created>
  <dcterms:modified xsi:type="dcterms:W3CDTF">2022-08-05T17:26:00Z</dcterms:modified>
</cp:coreProperties>
</file>